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Professor</w:t>
      </w:r>
      <w:r>
        <w:t xml:space="preserve"> </w:t>
      </w:r>
      <w:r>
        <w:t xml:space="preserve">Market</w:t>
      </w:r>
      <w:r>
        <w:t xml:space="preserve"> </w:t>
      </w:r>
      <w:r>
        <w:t xml:space="preserve">Performance</w:t>
      </w:r>
      <w:r>
        <w:t xml:space="preserve"> </w:t>
      </w:r>
      <w:r>
        <w:t xml:space="preserve">in</w:t>
      </w:r>
      <w:r>
        <w:t xml:space="preserve"> </w:t>
      </w:r>
      <w:r>
        <w:t xml:space="preserve">Germany</w:t>
      </w:r>
      <w:r>
        <w:t xml:space="preserve"> </w:t>
      </w:r>
      <w:r>
        <w:t xml:space="preserve">Berlin</w:t>
      </w:r>
    </w:p>
    <w:bookmarkStart w:id="27" w:name="X06cdffa74f9e412273f34d77b7d618b9e7f0039"/>
    <w:p>
      <w:pPr>
        <w:pStyle w:val="Heading1"/>
      </w:pPr>
      <w:r>
        <w:t xml:space="preserve">Comprehensive Sales Report: Professor Product Line Market Performance in Germany Berlin</w:t>
      </w:r>
    </w:p>
    <w:bookmarkStart w:id="20" w:name="executive-summary"/>
    <w:p>
      <w:pPr>
        <w:pStyle w:val="Heading2"/>
      </w:pPr>
      <w:r>
        <w:t xml:space="preserve">Executive Summary</w:t>
      </w:r>
    </w:p>
    <w:p>
      <w:pPr>
        <w:pStyle w:val="FirstParagraph"/>
      </w:pPr>
      <w:r>
        <w:t xml:space="preserve">This Sales Report details the performance of the "Professor" product line within the competitive educational technology market of Berlin, Germany. Covering Q3 2023 (July-September), this analysis confirms Professor's strategic positioning as a premium academic solution, achieving a 17% year-over-year growth in Berlin with significant market share expansion. The report highlights key sales drivers, customer adoption patterns specific to Berlin's academic ecosystem, and actionable recommendations for sustained growth in Germany's capital city.</w:t>
      </w:r>
    </w:p>
    <w:bookmarkEnd w:id="20"/>
    <w:bookmarkStart w:id="21" w:name="X0e8f61335aef3e6bcfc8871def12fedbca593cc"/>
    <w:p>
      <w:pPr>
        <w:pStyle w:val="Heading2"/>
      </w:pPr>
      <w:r>
        <w:t xml:space="preserve">Market Context: Berlin's Educational Landscape</w:t>
      </w:r>
    </w:p>
    <w:p>
      <w:pPr>
        <w:pStyle w:val="FirstParagraph"/>
      </w:pPr>
      <w:r>
        <w:t xml:space="preserve">Berlin represents Germany's most dynamic educational hub with 15 major universities (including Humboldt University, Technical University Berlin), 70+ research institutes, and over 350,000 students. The city's government prioritizes digital transformation in education through initiatives like "Berlin Digital" and mandates for modern learning tools in public institutions. This creates an ideal market for Professor – a cloud-based academic collaboration platform designed specifically for university workflows.</w:t>
      </w:r>
    </w:p>
    <w:p>
      <w:pPr>
        <w:pStyle w:val="BodyText"/>
      </w:pPr>
      <w:r>
        <w:t xml:space="preserve">Competitor analysis reveals that traditional LMS providers (like Moodle) dominate 62% of the market but lack integrated research capabilities. Professor differentiates through AI-driven literature synthesis, real-time collaborative annotation, and GDPR-compliant data handling – critical requirements for Berlin's stringent academic privacy regulations. Our Q3 Berlin sales demonstrate that 89% of enterprise clients chose Professor over competitors due to these compliance features.</w:t>
      </w:r>
    </w:p>
    <w:bookmarkEnd w:id="21"/>
    <w:bookmarkStart w:id="22" w:name="X11e539e1129cb387abd928fb166264418a388d1"/>
    <w:p>
      <w:pPr>
        <w:pStyle w:val="Heading2"/>
      </w:pPr>
      <w:r>
        <w:t xml:space="preserve">Q3 Sales Performance: Germany Berlin Focus</w:t>
      </w:r>
    </w:p>
    <w:p>
      <w:pPr>
        <w:pStyle w:val="FirstParagraph"/>
      </w:pPr>
      <w:r>
        <w:rPr>
          <w:bCs/>
          <w:b/>
        </w:rPr>
        <w:t xml:space="preserve">Revenue Metrics:</w:t>
      </w:r>
    </w:p>
    <w:p>
      <w:pPr>
        <w:numPr>
          <w:ilvl w:val="0"/>
          <w:numId w:val="1001"/>
        </w:numPr>
        <w:pStyle w:val="Compact"/>
      </w:pPr>
      <w:r>
        <w:rPr>
          <w:bCs/>
          <w:b/>
        </w:rPr>
        <w:t xml:space="preserve">Total Revenue (Berlin):</w:t>
      </w:r>
      <w:r>
        <w:t xml:space="preserve"> </w:t>
      </w:r>
      <w:r>
        <w:t xml:space="preserve">€1.84M (↑17% YoY, ↑9% QoQ)</w:t>
      </w:r>
    </w:p>
    <w:p>
      <w:pPr>
        <w:numPr>
          <w:ilvl w:val="0"/>
          <w:numId w:val="1001"/>
        </w:numPr>
        <w:pStyle w:val="Compact"/>
      </w:pPr>
      <w:r>
        <w:rPr>
          <w:bCs/>
          <w:b/>
        </w:rPr>
        <w:t xml:space="preserve">New Enterprise Contracts:</w:t>
      </w:r>
      <w:r>
        <w:t xml:space="preserve"> </w:t>
      </w:r>
      <w:r>
        <w:t xml:space="preserve">28 (including 5 Tier-1 universities)</w:t>
      </w:r>
    </w:p>
    <w:p>
      <w:pPr>
        <w:numPr>
          <w:ilvl w:val="0"/>
          <w:numId w:val="1001"/>
        </w:numPr>
        <w:pStyle w:val="Compact"/>
      </w:pPr>
      <w:r>
        <w:rPr>
          <w:bCs/>
          <w:b/>
        </w:rPr>
        <w:t xml:space="preserve">Customer Acquisition Cost (CAC):</w:t>
      </w:r>
      <w:r>
        <w:t xml:space="preserve"> </w:t>
      </w:r>
      <w:r>
        <w:t xml:space="preserve">€3,200 (↓12% from Q2 due to improved Berlin campus partnerships)</w:t>
      </w:r>
    </w:p>
    <w:p>
      <w:pPr>
        <w:numPr>
          <w:ilvl w:val="0"/>
          <w:numId w:val="1001"/>
        </w:numPr>
        <w:pStyle w:val="Compact"/>
      </w:pPr>
      <w:r>
        <w:rPr>
          <w:bCs/>
          <w:b/>
        </w:rPr>
        <w:t xml:space="preserve">Net Revenue Retention:</w:t>
      </w:r>
      <w:r>
        <w:t xml:space="preserve"> </w:t>
      </w:r>
      <w:r>
        <w:t xml:space="preserve">124% (indicating strong expansion within existing accounts)</w:t>
      </w:r>
    </w:p>
    <w:p>
      <w:pPr>
        <w:pStyle w:val="FirstParagraph"/>
      </w:pPr>
      <w:r>
        <w:rPr>
          <w:bCs/>
          <w:b/>
        </w:rPr>
        <w:t xml:space="preserve">Key Growth Drivers in Berlin:</w:t>
      </w:r>
    </w:p>
    <w:p>
      <w:pPr>
        <w:numPr>
          <w:ilvl w:val="0"/>
          <w:numId w:val="1002"/>
        </w:numPr>
        <w:pStyle w:val="Compact"/>
      </w:pPr>
      <w:r>
        <w:rPr>
          <w:iCs/>
          <w:i/>
        </w:rPr>
        <w:t xml:space="preserve">Strategic University Partnerships</w:t>
      </w:r>
      <w:r>
        <w:t xml:space="preserve">: Signed agreements with Freie Universität Berlin (3,800 faculty) and Charité Medical University (21 research departments), representing 27% of total Q3 revenue. These contracts included customization for German academic workflows like "Fachbereich"-specific content tagging.</w:t>
      </w:r>
    </w:p>
    <w:p>
      <w:pPr>
        <w:numPr>
          <w:ilvl w:val="0"/>
          <w:numId w:val="1002"/>
        </w:numPr>
        <w:pStyle w:val="Compact"/>
      </w:pPr>
      <w:r>
        <w:rPr>
          <w:iCs/>
          <w:i/>
        </w:rPr>
        <w:t xml:space="preserve">Government Tender Wins</w:t>
      </w:r>
      <w:r>
        <w:t xml:space="preserve">: Secured a €450k contract with Berlin's Senate Department for Education to implement Professor across 12 public high schools (a first for our platform in secondary education).</w:t>
      </w:r>
    </w:p>
    <w:p>
      <w:pPr>
        <w:numPr>
          <w:ilvl w:val="0"/>
          <w:numId w:val="1002"/>
        </w:numPr>
        <w:pStyle w:val="Compact"/>
      </w:pPr>
      <w:r>
        <w:rPr>
          <w:iCs/>
          <w:i/>
        </w:rPr>
        <w:t xml:space="preserve">Local Language Integration</w:t>
      </w:r>
      <w:r>
        <w:t xml:space="preserve">: Launched fully German-optimized UI/UX (including Duden-compliant terminology) in July 2023, driving a 34% increase in conversions from German-speaking prospects.</w:t>
      </w:r>
    </w:p>
    <w:bookmarkEnd w:id="22"/>
    <w:bookmarkStart w:id="23" w:name="X5e89601eb371c7bae2fd00dd05c8cc78e8d110d"/>
    <w:p>
      <w:pPr>
        <w:pStyle w:val="Heading2"/>
      </w:pPr>
      <w:r>
        <w:t xml:space="preserve">Customer Adoption Patterns: Berlin Specifics</w:t>
      </w:r>
    </w:p>
    <w:p>
      <w:pPr>
        <w:pStyle w:val="FirstParagraph"/>
      </w:pPr>
      <w:r>
        <w:t xml:space="preserve">Berlin's academic community exhibits unique adoption behaviors: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University Type</w:t>
            </w:r>
          </w:p>
        </w:tc>
        <w:tc>
          <w:tcPr/>
          <w:p>
            <w:pPr>
              <w:pStyle w:val="Compact"/>
              <w:jc w:val="left"/>
            </w:pPr>
            <w:r>
              <w:t xml:space="preserve">Adoption Rate (Q3)</w:t>
            </w:r>
          </w:p>
        </w:tc>
        <w:tc>
          <w:tcPr/>
          <w:p>
            <w:pPr>
              <w:pStyle w:val="Compact"/>
              <w:jc w:val="left"/>
            </w:pPr>
            <w:r>
              <w:t xml:space="preserve">Primary Use Case</w:t>
            </w:r>
          </w:p>
        </w:tc>
        <w:tc>
          <w:tcPr/>
          <w:p>
            <w:pPr>
              <w:pStyle w:val="Compact"/>
              <w:jc w:val="left"/>
            </w:pPr>
            <w:r>
              <w:t xml:space="preserve">Key Decision Influencer</w:t>
            </w:r>
          </w:p>
        </w:tc>
      </w:tr>
      <w:tr>
        <w:tc>
          <w:tcPr/>
          <w:p>
            <w:pPr>
              <w:pStyle w:val="Compact"/>
              <w:jc w:val="left"/>
            </w:pPr>
            <w:r>
              <w:t xml:space="preserve">RUHR University Berlin (Research-Focused)</w:t>
            </w:r>
          </w:p>
        </w:tc>
        <w:tc>
          <w:tcPr/>
          <w:p>
            <w:pPr>
              <w:pStyle w:val="Compact"/>
              <w:jc w:val="left"/>
            </w:pPr>
            <w:r>
              <w:t xml:space="preserve">78%</w:t>
            </w:r>
          </w:p>
        </w:tc>
        <w:tc>
          <w:tcPr/>
          <w:p>
            <w:pPr>
              <w:pStyle w:val="Compact"/>
              <w:jc w:val="left"/>
            </w:pPr>
            <w:r>
              <w:t xml:space="preserve">Grant-funded research collaboration</w:t>
            </w:r>
          </w:p>
        </w:tc>
        <w:tc>
          <w:tcPr/>
          <w:p>
            <w:pPr>
              <w:pStyle w:val="Compact"/>
              <w:jc w:val="left"/>
            </w:pPr>
            <w:r>
              <w:t xml:space="preserve">Deans of Research (63% influence)</w:t>
            </w:r>
          </w:p>
        </w:tc>
      </w:tr>
      <w:tr>
        <w:tc>
          <w:tcPr/>
          <w:p>
            <w:pPr>
              <w:pStyle w:val="Compact"/>
              <w:jc w:val="left"/>
            </w:pPr>
            <w:r>
              <w:t xml:space="preserve">Berlin School of Economics</w:t>
            </w:r>
          </w:p>
        </w:tc>
        <w:tc>
          <w:tcPr/>
          <w:p>
            <w:pPr>
              <w:pStyle w:val="Compact"/>
              <w:jc w:val="left"/>
            </w:pPr>
            <w:r>
              <w:t xml:space="preserve">65%</w:t>
            </w:r>
          </w:p>
        </w:tc>
        <w:tc>
          <w:tcPr/>
          <w:p>
            <w:pPr>
              <w:pStyle w:val="Compact"/>
              <w:jc w:val="left"/>
            </w:pPr>
            <w:r>
              <w:t xml:space="preserve">E-commerce simulation modules</w:t>
            </w:r>
          </w:p>
        </w:tc>
        <w:tc>
          <w:tcPr/>
          <w:p>
            <w:pPr>
              <w:pStyle w:val="Compact"/>
              <w:jc w:val="left"/>
            </w:pPr>
            <w:r>
              <w:t xml:space="preserve">Department Heads (71% influence)</w:t>
            </w:r>
          </w:p>
        </w:tc>
      </w:tr>
      <w:tr>
        <w:tc>
          <w:tcPr/>
          <w:p>
            <w:pPr>
              <w:pStyle w:val="Compact"/>
              <w:jc w:val="left"/>
            </w:pPr>
            <w:r>
              <w:t xml:space="preserve">Public High Schools (Berlin-wide)</w:t>
            </w:r>
          </w:p>
        </w:tc>
        <w:tc>
          <w:tcPr/>
          <w:p>
            <w:pPr>
              <w:pStyle w:val="Compact"/>
              <w:jc w:val="left"/>
            </w:pPr>
            <w:r>
              <w:t xml:space="preserve">42%</w:t>
            </w:r>
          </w:p>
        </w:tc>
        <w:tc>
          <w:tcPr/>
          <w:p>
            <w:pPr>
              <w:pStyle w:val="Compact"/>
              <w:jc w:val="left"/>
            </w:pPr>
            <w:r>
              <w:t xml:space="preserve">Digital literacy curriculum</w:t>
            </w:r>
          </w:p>
        </w:tc>
        <w:tc>
          <w:tcPr/>
          <w:p>
            <w:pPr>
              <w:pStyle w:val="Compact"/>
              <w:jc w:val="left"/>
            </w:pPr>
            <w:r>
              <w:t xml:space="preserve">School Directors (89% influence)</w:t>
            </w:r>
          </w:p>
        </w:tc>
      </w:tr>
    </w:tbl>
    <w:p>
      <w:pPr>
        <w:pStyle w:val="BodyText"/>
      </w:pPr>
      <w:r>
        <w:t xml:space="preserve">Notably, Berlin's "Fachhochschulen" (universities of applied sciences) show highest engagement with Professor's industry partnership modules – a feature we've now expanded across all Berlin campus deployments.</w:t>
      </w:r>
    </w:p>
    <w:bookmarkEnd w:id="23"/>
    <w:bookmarkStart w:id="24" w:name="challenges-in-germany-berlin-market"/>
    <w:p>
      <w:pPr>
        <w:pStyle w:val="Heading2"/>
      </w:pPr>
      <w:r>
        <w:t xml:space="preserve">Challenges in Germany Berlin Market</w:t>
      </w:r>
    </w:p>
    <w:p>
      <w:pPr>
        <w:pStyle w:val="FirstParagraph"/>
      </w:pPr>
      <w:r>
        <w:t xml:space="preserve">Despite strong performance, three critical challenges emerged:</w:t>
      </w:r>
    </w:p>
    <w:p>
      <w:pPr>
        <w:numPr>
          <w:ilvl w:val="0"/>
          <w:numId w:val="1003"/>
        </w:numPr>
        <w:pStyle w:val="Compact"/>
      </w:pPr>
      <w:r>
        <w:rPr>
          <w:iCs/>
          <w:i/>
        </w:rPr>
        <w:t xml:space="preserve">Cultural Resistance to Cloud Solutions</w:t>
      </w:r>
      <w:r>
        <w:t xml:space="preserve">: 31% of Berlin universities initially rejected Professor due to data sovereignty concerns. We resolved this through on-premise deployment options and certified GDPR audits by Berlin-based legal firm "Müller &amp; Partner".</w:t>
      </w:r>
    </w:p>
    <w:p>
      <w:pPr>
        <w:numPr>
          <w:ilvl w:val="0"/>
          <w:numId w:val="1003"/>
        </w:numPr>
        <w:pStyle w:val="Compact"/>
      </w:pPr>
      <w:r>
        <w:rPr>
          <w:iCs/>
          <w:i/>
        </w:rPr>
        <w:t xml:space="preserve">Language Localization Gaps</w:t>
      </w:r>
      <w:r>
        <w:t xml:space="preserve">: Early German translations used formal terms ("Professor" instead of colloquial "Lehrer"), causing confusion. Our Berlin localization team now uses context-appropriate academic German (e.g., "Professorenportal" for faculty portal).</w:t>
      </w:r>
    </w:p>
    <w:p>
      <w:pPr>
        <w:numPr>
          <w:ilvl w:val="0"/>
          <w:numId w:val="1003"/>
        </w:numPr>
        <w:pStyle w:val="Compact"/>
      </w:pPr>
      <w:r>
        <w:rPr>
          <w:iCs/>
          <w:i/>
        </w:rPr>
        <w:t xml:space="preserve">Competitor Pricing Pressure</w:t>
      </w:r>
      <w:r>
        <w:t xml:space="preserve">: Moodle's free model triggered 23% price-sensitive negotiations. We countered by bundling "Professor Research Suite" with our standard offering at no extra cost.</w:t>
      </w:r>
    </w:p>
    <w:bookmarkEnd w:id="24"/>
    <w:bookmarkStart w:id="25" w:name="X3561d1a7917aa34a71f0e4ca71040c101b1beb1"/>
    <w:p>
      <w:pPr>
        <w:pStyle w:val="Heading2"/>
      </w:pPr>
      <w:r>
        <w:t xml:space="preserve">Strategic Recommendations for Germany Berlin Expansion</w:t>
      </w:r>
    </w:p>
    <w:p>
      <w:pPr>
        <w:pStyle w:val="FirstParagraph"/>
      </w:pPr>
      <w:r>
        <w:t xml:space="preserve">To capitalize on Berlin's growth potential, we propose:</w:t>
      </w:r>
    </w:p>
    <w:p>
      <w:pPr>
        <w:numPr>
          <w:ilvl w:val="0"/>
          <w:numId w:val="1004"/>
        </w:numPr>
        <w:pStyle w:val="Compact"/>
      </w:pPr>
      <w:r>
        <w:rPr>
          <w:iCs/>
          <w:i/>
        </w:rPr>
        <w:t xml:space="preserve">Establish Berlin Innovation Hub</w:t>
      </w:r>
      <w:r>
        <w:t xml:space="preserve">: Create dedicated office near Alexanderplatz to provide same-day support for 80+ university clients. Estimated ROI: 215% by Q1 2024 through reduced churn.</w:t>
      </w:r>
    </w:p>
    <w:p>
      <w:pPr>
        <w:numPr>
          <w:ilvl w:val="0"/>
          <w:numId w:val="1004"/>
        </w:numPr>
        <w:pStyle w:val="Compact"/>
      </w:pPr>
      <w:r>
        <w:rPr>
          <w:iCs/>
          <w:i/>
        </w:rPr>
        <w:t xml:space="preserve">Government Partnership Program</w:t>
      </w:r>
      <w:r>
        <w:t xml:space="preserve">: Develop a "Berlin Academic Digitalization Fund" with Senate Department, co-funding implementations for underserved institutions (targeting 15 new schools by December).</w:t>
      </w:r>
    </w:p>
    <w:p>
      <w:pPr>
        <w:numPr>
          <w:ilvl w:val="0"/>
          <w:numId w:val="1004"/>
        </w:numPr>
        <w:pStyle w:val="Compact"/>
      </w:pPr>
      <w:r>
        <w:rPr>
          <w:iCs/>
          <w:i/>
        </w:rPr>
        <w:t xml:space="preserve">Localize Content with Berlin Universities</w:t>
      </w:r>
      <w:r>
        <w:t xml:space="preserve">: Co-create course modules with Humboldt University's history department to demonstrate cultural relevance (e.g., "Digitalizing Prussian Academic Archives").</w:t>
      </w:r>
    </w:p>
    <w:bookmarkEnd w:id="25"/>
    <w:bookmarkStart w:id="26" w:name="X28f0147d2b3cd152f9859529148f26f180eeca3"/>
    <w:p>
      <w:pPr>
        <w:pStyle w:val="Heading2"/>
      </w:pPr>
      <w:r>
        <w:t xml:space="preserve">Conclusion: Professor's Berlin Market Positioning</w:t>
      </w:r>
    </w:p>
    <w:p>
      <w:pPr>
        <w:pStyle w:val="FirstParagraph"/>
      </w:pPr>
      <w:r>
        <w:t xml:space="preserve">The Germany Berlin market has validated Professor as the premier academic platform meeting both technical and cultural needs of German academia. Our Q3 performance demonstrates that when solutions are designed for Berlin's specific educational ecosystem – respecting GDPR, academic traditions, and city-specific workflows – sustainable growth follows. The €1.84M revenue in Berlin represents 29% of our total European sales, making it our most valuable national market.</w:t>
      </w:r>
    </w:p>
    <w:p>
      <w:pPr>
        <w:pStyle w:val="BodyText"/>
      </w:pPr>
      <w:r>
        <w:t xml:space="preserve">As Professor enters its third year in Germany Berlin, we've moved beyond being a vendor to becoming a strategic partner for academic transformation. With the new Senate Department contract and university partnerships scaling rapidly, Professor is positioned not just as an educational tool but as a catalyst for Berlin's vision of "Education 4.0." The data is clear: when products align with Berlin's unique institutional landscape – rather than forcing European markets into generic templates – success becomes inevitable.</w:t>
      </w:r>
    </w:p>
    <w:p>
      <w:pPr>
        <w:pStyle w:val="BodyText"/>
      </w:pPr>
      <w:r>
        <w:rPr>
          <w:bCs/>
          <w:b/>
        </w:rPr>
        <w:t xml:space="preserve">Next Steps</w:t>
      </w:r>
      <w:r>
        <w:t xml:space="preserve">: Implement all recommendations by Q1 2024, with quarterly Berlin market reviews to ensure continuous alignment. Our target remains 35% market share in Berlin's university segment by end-2024.</w:t>
      </w:r>
    </w:p>
    <w:p>
      <w:r>
        <w:pict>
          <v:rect style="width:0;height:1.5pt" o:hralign="center" o:hrstd="t" o:hr="t"/>
        </w:pict>
      </w:r>
    </w:p>
    <w:p>
      <w:pPr>
        <w:pStyle w:val="FirstParagraph"/>
      </w:pPr>
      <w:r>
        <w:rPr>
          <w:bCs/>
          <w:b/>
        </w:rPr>
        <w:t xml:space="preserve">Sales Report Prepared For:</w:t>
      </w:r>
      <w:r>
        <w:t xml:space="preserve"> </w:t>
      </w:r>
      <w:r>
        <w:t xml:space="preserve">Global Product Management, Professor Technologies</w:t>
      </w:r>
      <w:r>
        <w:br/>
      </w:r>
      <w:r>
        <w:rPr>
          <w:bCs/>
          <w:b/>
        </w:rPr>
        <w:t xml:space="preserve">Report Period:</w:t>
      </w:r>
      <w:r>
        <w:t xml:space="preserve"> </w:t>
      </w:r>
      <w:r>
        <w:t xml:space="preserve">July 1 - September 30, 2023</w:t>
      </w:r>
      <w:r>
        <w:br/>
      </w:r>
      <w:r>
        <w:rPr>
          <w:bCs/>
          <w:b/>
        </w:rPr>
        <w:t xml:space="preserve">Prepared By:</w:t>
      </w:r>
      <w:r>
        <w:t xml:space="preserve"> </w:t>
      </w:r>
      <w:r>
        <w:t xml:space="preserve">Berlin Regional Sales Strategy Team (Germany)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Professor Market Performance in Germany Berlin</dc:title>
  <dc:creator/>
  <dc:language>en</dc:language>
  <cp:keywords/>
  <dcterms:created xsi:type="dcterms:W3CDTF">2026-07-22T12:05:00Z</dcterms:created>
  <dcterms:modified xsi:type="dcterms:W3CDTF">2026-07-22T12:05:00Z</dcterms:modified>
</cp:coreProperties>
</file>

<file path=docProps/custom.xml><?xml version="1.0" encoding="utf-8"?>
<Properties xmlns="http://schemas.openxmlformats.org/officeDocument/2006/custom-properties" xmlns:vt="http://schemas.openxmlformats.org/officeDocument/2006/docPropsVTypes"/>
</file>