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Germany</w:t>
      </w:r>
      <w:r>
        <w:t xml:space="preserve"> </w:t>
      </w:r>
      <w:r>
        <w:t xml:space="preserve">Frankfurt</w:t>
      </w:r>
      <w:r>
        <w:t xml:space="preserve"> </w:t>
      </w:r>
      <w:r>
        <w:t xml:space="preserve">Market</w:t>
      </w:r>
      <w:r>
        <w:t xml:space="preserve"> </w:t>
      </w:r>
      <w:r>
        <w:t xml:space="preserve">Analysis</w:t>
      </w:r>
    </w:p>
    <w:bookmarkStart w:id="34" w:name="X45d9294b4fe3b8ed9c2d1e4bef41f8979858631"/>
    <w:p>
      <w:pPr>
        <w:pStyle w:val="Heading1"/>
      </w:pPr>
      <w:r>
        <w:t xml:space="preserve">Sales Report: Professor Solutions Market Performance in Germany Frankfurt (Q3 2023)</w:t>
      </w:r>
    </w:p>
    <w:p>
      <w:pPr>
        <w:pStyle w:val="FirstParagraph"/>
      </w:pPr>
      <w:r>
        <w:rPr>
          <w:bCs/>
          <w:b/>
        </w:rPr>
        <w:t xml:space="preserve">Prepared For:</w:t>
      </w:r>
      <w:r>
        <w:t xml:space="preserve"> </w:t>
      </w:r>
      <w:r>
        <w:t xml:space="preserve">Global Executive Committee, Professor Solutions</w:t>
      </w:r>
      <w:r>
        <w:br/>
      </w:r>
      <w:r>
        <w:rPr>
          <w:bCs/>
          <w:b/>
        </w:rPr>
        <w:t xml:space="preserve">Date:</w:t>
      </w:r>
      <w:r>
        <w:t xml:space="preserve"> </w:t>
      </w:r>
      <w:r>
        <w:t xml:space="preserve">October 26, 2023</w:t>
      </w:r>
      <w:r>
        <w:br/>
      </w:r>
      <w:r>
        <w:rPr>
          <w:bCs/>
          <w:b/>
        </w:rPr>
        <w:t xml:space="preserve">Location:</w:t>
      </w:r>
      <w:r>
        <w:t xml:space="preserve"> </w:t>
      </w:r>
      <w:r>
        <w:t xml:space="preserve">Frankfurt am Main, Germany</w:t>
      </w:r>
    </w:p>
    <w:bookmarkStart w:id="20" w:name="i.-executive-summary"/>
    <w:p>
      <w:pPr>
        <w:pStyle w:val="Heading2"/>
      </w:pPr>
      <w:r>
        <w:t xml:space="preserve">I. Executive Summary</w:t>
      </w:r>
    </w:p>
    <w:p>
      <w:pPr>
        <w:pStyle w:val="FirstParagraph"/>
      </w:pPr>
      <w:r>
        <w:t xml:space="preserve">This comprehensive Sales Report details the performance of Professor Solutions in the Frankfurt market during Q3 2023. As a leading provider of specialized academic and enterprise learning platforms, Professor Solutions has achieved remarkable growth in Germany's premier financial and educational hub. The Frankfurt branch recorded a 17.8% year-over-year revenue increase, surpassing regional targets by 14%. This success is attributed to strategic partnerships with Frankfurt University Consortium and Deutsche Börse Group, positioning Professor as the preferred solution for high-stakes academic and corporate training in Germany's economic capital.</w:t>
      </w:r>
    </w:p>
    <w:bookmarkEnd w:id="20"/>
    <w:bookmarkStart w:id="21" w:name="ii.-market-context-why-frankfurt-matters"/>
    <w:p>
      <w:pPr>
        <w:pStyle w:val="Heading2"/>
      </w:pPr>
      <w:r>
        <w:t xml:space="preserve">II. Market Context: Why Frankfurt Matters</w:t>
      </w:r>
    </w:p>
    <w:p>
      <w:pPr>
        <w:pStyle w:val="FirstParagraph"/>
      </w:pPr>
      <w:r>
        <w:t xml:space="preserve">Frankfurt's status as Germany's financial center, home to the European Central Bank, Deutsche Börse, and 15+ top-ranked universities (including Goethe University), creates an unparalleled market for Professor Solutions. The city represents a €68 billion annual investment in educational technology within Germany's top 5 metropolitan areas. Our Frankfurt operations leverage this ecosystem to deliver customized solutions where academic rigor meets corporate demand – the very essence of the Professor brand philosophy.</w:t>
      </w:r>
    </w:p>
    <w:bookmarkEnd w:id="21"/>
    <w:bookmarkStart w:id="24" w:name="iii.-q3-sales-performance-breakdown"/>
    <w:p>
      <w:pPr>
        <w:pStyle w:val="Heading2"/>
      </w:pPr>
      <w:r>
        <w:t xml:space="preserve">III. Q3 Sales Performance Breakdown</w:t>
      </w:r>
    </w:p>
    <w:bookmarkStart w:id="22" w:name="a.-revenue-streams"/>
    <w:p>
      <w:pPr>
        <w:pStyle w:val="Heading3"/>
      </w:pPr>
      <w:r>
        <w:t xml:space="preserve">A. Revenue Streams</w:t>
      </w:r>
    </w:p>
    <w:p>
      <w:pPr>
        <w:pStyle w:val="FirstParagraph"/>
      </w:pPr>
      <w:r>
        <w:t xml:space="preserve">Product/Service</w:t>
      </w:r>
    </w:p>
    <w:p>
      <w:pPr>
        <w:pStyle w:val="BodyText"/>
      </w:pPr>
      <w:r>
        <w:t xml:space="preserve">Q2 2023 (€)</w:t>
      </w:r>
    </w:p>
    <w:p>
      <w:pPr>
        <w:pStyle w:val="BodyText"/>
      </w:pPr>
      <w:r>
        <w:t xml:space="preserve">Q3 2023 (€)</w:t>
      </w:r>
    </w:p>
    <w:p>
      <w:pPr>
        <w:pStyle w:val="BodyText"/>
      </w:pPr>
      <w:r>
        <w:t xml:space="preserve">% Change</w:t>
      </w:r>
    </w:p>
    <w:p>
      <w:pPr>
        <w:pStyle w:val="BodyText"/>
      </w:pPr>
      <w:r>
        <w:t xml:space="preserve">Market Share (Frankfurt)</w:t>
      </w:r>
    </w:p>
    <w:p>
      <w:pPr>
        <w:pStyle w:val="BodyText"/>
      </w:pPr>
      <w:r>
        <w:t xml:space="preserve">Professor Academic Suite</w:t>
      </w:r>
    </w:p>
    <w:p>
      <w:pPr>
        <w:pStyle w:val="BodyText"/>
      </w:pPr>
      <w:r>
        <w:t xml:space="preserve">142,500</w:t>
      </w:r>
    </w:p>
    <w:p>
      <w:pPr>
        <w:pStyle w:val="BodyText"/>
      </w:pPr>
      <w:r>
        <w:t xml:space="preserve">189,300</w:t>
      </w:r>
    </w:p>
    <w:p>
      <w:pPr>
        <w:pStyle w:val="BodyText"/>
      </w:pPr>
      <w:r>
        <w:t xml:space="preserve">+32.8%</w:t>
      </w:r>
    </w:p>
    <w:p>
      <w:pPr>
        <w:pStyle w:val="BodyText"/>
      </w:pPr>
      <w:r>
        <w:t xml:space="preserve">37% (↑5%)</w:t>
      </w:r>
    </w:p>
    <w:p>
      <w:pPr>
        <w:pStyle w:val="BodyText"/>
      </w:pPr>
      <w:r>
        <w:t xml:space="preserve">Professor Enterprise LMS</w:t>
      </w:r>
    </w:p>
    <w:p>
      <w:pPr>
        <w:pStyle w:val="BodyText"/>
      </w:pPr>
      <w:r>
        <w:t xml:space="preserve">Major Contract Wins:</w:t>
      </w:r>
    </w:p>
    <w:p>
      <w:pPr>
        <w:pStyle w:val="BodyText"/>
      </w:pPr>
      <w:r>
        <w:t xml:space="preserve">  - Deutsche Börse Training Program</w:t>
      </w:r>
    </w:p>
    <w:p>
      <w:pPr>
        <w:pStyle w:val="BodyText"/>
      </w:pPr>
      <w:r>
        <w:t xml:space="preserve">N/A</w:t>
      </w:r>
    </w:p>
    <w:p>
      <w:pPr>
        <w:pStyle w:val="BodyText"/>
      </w:pPr>
      <w:r>
        <w:t xml:space="preserve">325,000</w:t>
      </w:r>
    </w:p>
    <w:p>
      <w:pPr>
        <w:pStyle w:val="BodyText"/>
      </w:pPr>
      <w:r>
        <w:t xml:space="preserve">N/A</w:t>
      </w:r>
    </w:p>
    <w:p>
      <w:pPr>
        <w:pStyle w:val="BodyText"/>
      </w:pPr>
      <w:r>
        <w:t xml:space="preserve">  - Daimler AG Compliance Modules</w:t>
      </w:r>
    </w:p>
    <w:p>
      <w:pPr>
        <w:pStyle w:val="BodyText"/>
      </w:pPr>
      <w:r>
        <w:t xml:space="preserve">€189,500 (Q3)</w:t>
      </w:r>
    </w:p>
    <w:p>
      <w:pPr>
        <w:pStyle w:val="BodyText"/>
      </w:pPr>
      <w:r>
        <w:t xml:space="preserve">Professor AI Analytics Add-on</w:t>
      </w:r>
    </w:p>
    <w:p>
      <w:pPr>
        <w:pStyle w:val="BodyText"/>
      </w:pPr>
      <w:r>
        <w:t xml:space="preserve">68,200</w:t>
      </w:r>
    </w:p>
    <w:p>
      <w:pPr>
        <w:pStyle w:val="BodyText"/>
      </w:pPr>
      <w:r>
        <w:t xml:space="preserve">112,700</w:t>
      </w:r>
    </w:p>
    <w:p>
      <w:pPr>
        <w:pStyle w:val="BodyText"/>
      </w:pPr>
      <w:r>
        <w:t xml:space="preserve">+65.2%</w:t>
      </w:r>
    </w:p>
    <w:p>
      <w:pPr>
        <w:pStyle w:val="BodyText"/>
      </w:pPr>
      <w:r>
        <w:t xml:space="preserve">N/A</w:t>
      </w:r>
    </w:p>
    <w:bookmarkEnd w:id="22"/>
    <w:bookmarkStart w:id="23" w:name="b.-key-regional-achievements"/>
    <w:p>
      <w:pPr>
        <w:pStyle w:val="Heading3"/>
      </w:pPr>
      <w:r>
        <w:t xml:space="preserve">B. Key Regional Achievements</w:t>
      </w:r>
    </w:p>
    <w:p>
      <w:pPr>
        <w:numPr>
          <w:ilvl w:val="0"/>
          <w:numId w:val="1001"/>
        </w:numPr>
        <w:pStyle w:val="Compact"/>
      </w:pPr>
      <w:r>
        <w:rPr>
          <w:bCs/>
          <w:b/>
        </w:rPr>
        <w:t xml:space="preserve">Record Contract Acquisition:</w:t>
      </w:r>
      <w:r>
        <w:t xml:space="preserve"> </w:t>
      </w:r>
      <w:r>
        <w:t xml:space="preserve">Secured Germany's largest single enterprise contract in Frankfurt with Deutsche Börse for the "Professor Financial Intelligence Platform," valued at €1.2M over 5 years</w:t>
      </w:r>
    </w:p>
    <w:p>
      <w:pPr>
        <w:numPr>
          <w:ilvl w:val="0"/>
          <w:numId w:val="1001"/>
        </w:numPr>
        <w:pStyle w:val="Compact"/>
      </w:pPr>
      <w:r>
        <w:rPr>
          <w:bCs/>
          <w:b/>
        </w:rPr>
        <w:t xml:space="preserve">University Partnership Expansion:</w:t>
      </w:r>
      <w:r>
        <w:t xml:space="preserve"> </w:t>
      </w:r>
      <w:r>
        <w:t xml:space="preserve">Onboarded 3 new university partners (Goethe University, FH Frankfurt, Technical University of Darmstadt) adding 18,000+ students to the Professor platform</w:t>
      </w:r>
    </w:p>
    <w:p>
      <w:pPr>
        <w:numPr>
          <w:ilvl w:val="0"/>
          <w:numId w:val="1001"/>
        </w:numPr>
        <w:pStyle w:val="Compact"/>
      </w:pPr>
      <w:r>
        <w:rPr>
          <w:bCs/>
          <w:b/>
        </w:rPr>
        <w:t xml:space="preserve">Digital Transformation Milestone:</w:t>
      </w:r>
      <w:r>
        <w:t xml:space="preserve"> </w:t>
      </w:r>
      <w:r>
        <w:t xml:space="preserve">Achieved 92% client retention rate in Frankfurt – significantly above the German market average of 76%</w:t>
      </w:r>
    </w:p>
    <w:bookmarkEnd w:id="23"/>
    <w:bookmarkEnd w:id="24"/>
    <w:bookmarkStart w:id="27" w:name="iv.-frankfurt-specific-market-analysis"/>
    <w:p>
      <w:pPr>
        <w:pStyle w:val="Heading2"/>
      </w:pPr>
      <w:r>
        <w:t xml:space="preserve">IV. Frankfurt-Specific Market Analysis</w:t>
      </w:r>
    </w:p>
    <w:p>
      <w:pPr>
        <w:pStyle w:val="FirstParagraph"/>
      </w:pPr>
      <w:r>
        <w:t xml:space="preserve">The success in Germany's financial capital stems from hyper-localized strategies that address Frankfurt's unique educational and corporate landscape:</w:t>
      </w:r>
    </w:p>
    <w:bookmarkStart w:id="25" w:name="a.-competitor-landscape-frankfurt"/>
    <w:p>
      <w:pPr>
        <w:pStyle w:val="Heading3"/>
      </w:pPr>
      <w:r>
        <w:t xml:space="preserve">A. Competitor Landscape (Frankfurt)</w:t>
      </w:r>
    </w:p>
    <w:p>
      <w:pPr>
        <w:pStyle w:val="FirstParagraph"/>
      </w:pPr>
      <w:r>
        <w:t xml:space="preserve">While global players like Coursera and SAP SuccessFactors dominate, Professor Solutions differentiates through:</w:t>
      </w:r>
    </w:p>
    <w:p>
      <w:pPr>
        <w:numPr>
          <w:ilvl w:val="0"/>
          <w:numId w:val="1002"/>
        </w:numPr>
        <w:pStyle w:val="Compact"/>
      </w:pPr>
      <w:r>
        <w:rPr>
          <w:bCs/>
          <w:b/>
        </w:rPr>
        <w:t xml:space="preserve">German-Language Expertise:</w:t>
      </w:r>
      <w:r>
        <w:t xml:space="preserve"> </w:t>
      </w:r>
      <w:r>
        <w:t xml:space="preserve">Full localization with Frankfurt-based content teams ensuring cultural nuance in legal/finance modules</w:t>
      </w:r>
    </w:p>
    <w:p>
      <w:pPr>
        <w:numPr>
          <w:ilvl w:val="0"/>
          <w:numId w:val="1002"/>
        </w:numPr>
        <w:pStyle w:val="Compact"/>
      </w:pPr>
      <w:r>
        <w:rPr>
          <w:bCs/>
          <w:b/>
        </w:rPr>
        <w:t xml:space="preserve">Regulatory Alignment:</w:t>
      </w:r>
      <w:r>
        <w:t xml:space="preserve"> </w:t>
      </w:r>
      <w:r>
        <w:t xml:space="preserve">Built-in compliance with German Data Protection Act (DSGVO) and Börse regulations – critical for financial sector clients</w:t>
      </w:r>
    </w:p>
    <w:p>
      <w:pPr>
        <w:numPr>
          <w:ilvl w:val="0"/>
          <w:numId w:val="1002"/>
        </w:numPr>
        <w:pStyle w:val="Compact"/>
      </w:pPr>
      <w:r>
        <w:rPr>
          <w:bCs/>
          <w:b/>
        </w:rPr>
        <w:t xml:space="preserve">University Integration:</w:t>
      </w:r>
      <w:r>
        <w:t xml:space="preserve"> </w:t>
      </w:r>
      <w:r>
        <w:t xml:space="preserve">Seamless LMS integration with Frankfurt's preferred academic systems (e.g., Moodle, Stud.IP)</w:t>
      </w:r>
    </w:p>
    <w:bookmarkEnd w:id="25"/>
    <w:bookmarkStart w:id="26" w:name="b.-customer-sentiment-insights"/>
    <w:p>
      <w:pPr>
        <w:pStyle w:val="Heading3"/>
      </w:pPr>
      <w:r>
        <w:t xml:space="preserve">B. Customer Sentiment Insights</w:t>
      </w:r>
    </w:p>
    <w:p>
      <w:pPr>
        <w:pStyle w:val="FirstParagraph"/>
      </w:pPr>
      <w:r>
        <w:t xml:space="preserve">A post-purchase survey of 87 Frankfurt clients revealed:</w:t>
      </w:r>
    </w:p>
    <w:p>
      <w:pPr>
        <w:numPr>
          <w:ilvl w:val="0"/>
          <w:numId w:val="1003"/>
        </w:numPr>
        <w:pStyle w:val="Compact"/>
      </w:pPr>
      <w:r>
        <w:t xml:space="preserve">94% rated "Professor's understanding of German academic standards" as "excellent"</w:t>
      </w:r>
    </w:p>
    <w:p>
      <w:pPr>
        <w:numPr>
          <w:ilvl w:val="0"/>
          <w:numId w:val="1003"/>
        </w:numPr>
        <w:pStyle w:val="Compact"/>
      </w:pPr>
      <w:r>
        <w:t xml:space="preserve">89% cited "seamless implementation within existing Frankfurt university infrastructure" as key to adoption</w:t>
      </w:r>
    </w:p>
    <w:p>
      <w:pPr>
        <w:numPr>
          <w:ilvl w:val="0"/>
          <w:numId w:val="1003"/>
        </w:numPr>
        <w:pStyle w:val="Compact"/>
      </w:pPr>
      <w:r>
        <w:t xml:space="preserve">Top request: Expansion of the Professor Compliance Suite for German financial regulations (requested by 63% of enterprise clients)</w:t>
      </w:r>
    </w:p>
    <w:bookmarkEnd w:id="26"/>
    <w:bookmarkEnd w:id="27"/>
    <w:bookmarkStart w:id="30" w:name="v.-challenges-strategic-response"/>
    <w:p>
      <w:pPr>
        <w:pStyle w:val="Heading2"/>
      </w:pPr>
      <w:r>
        <w:t xml:space="preserve">V. Challenges &amp; Strategic Response</w:t>
      </w:r>
    </w:p>
    <w:p>
      <w:pPr>
        <w:pStyle w:val="FirstParagraph"/>
      </w:pPr>
      <w:r>
        <w:t xml:space="preserve">Despite strong performance, Frankfurt operations faced two critical challenges:</w:t>
      </w:r>
    </w:p>
    <w:bookmarkStart w:id="28" w:name="talent-shortage-in-edtech"/>
    <w:p>
      <w:pPr>
        <w:pStyle w:val="Heading3"/>
      </w:pPr>
      <w:r>
        <w:t xml:space="preserve">1. Talent Shortage in EdTech</w:t>
      </w:r>
    </w:p>
    <w:p>
      <w:pPr>
        <w:pStyle w:val="FirstParagraph"/>
      </w:pPr>
      <w:r>
        <w:t xml:space="preserve">Frankfurt's competitive job market strained our local sales team capacity (50% vacancy rate in Q2). Solution: Launched the "Professor Frankfurt Talent Accelerator" with Goethe University, offering 20% tuition subsidies for certified edtech training. Result: 14 new hires in Q3 with 95% retention.</w:t>
      </w:r>
    </w:p>
    <w:bookmarkEnd w:id="28"/>
    <w:bookmarkStart w:id="29" w:name="competitor-price-pressure"/>
    <w:p>
      <w:pPr>
        <w:pStyle w:val="Heading3"/>
      </w:pPr>
      <w:r>
        <w:t xml:space="preserve">2. Competitor Price Pressure</w:t>
      </w:r>
    </w:p>
    <w:p>
      <w:pPr>
        <w:pStyle w:val="FirstParagraph"/>
      </w:pPr>
      <w:r>
        <w:t xml:space="preserve">Global competitor undercutting on enterprise pricing by up to 18%. Response: Developed the "Professor Frankfurt Value Package" – bundling AI analytics, compliance modules, and Frankfurt-specific content at 7% below competitive tiers. This secured 5 major deals in Q3.</w:t>
      </w:r>
    </w:p>
    <w:bookmarkEnd w:id="29"/>
    <w:bookmarkEnd w:id="30"/>
    <w:bookmarkStart w:id="31" w:name="Xc2e9af71f2638e7c0d2962e82a3b3c8367e8af9"/>
    <w:p>
      <w:pPr>
        <w:pStyle w:val="Heading2"/>
      </w:pPr>
      <w:r>
        <w:t xml:space="preserve">VI. Strategic Recommendations for Germany Frankfurt</w:t>
      </w:r>
    </w:p>
    <w:p>
      <w:pPr>
        <w:pStyle w:val="FirstParagraph"/>
      </w:pPr>
      <w:r>
        <w:t xml:space="preserve">To maintain momentum in this pivotal market:</w:t>
      </w:r>
    </w:p>
    <w:p>
      <w:pPr>
        <w:numPr>
          <w:ilvl w:val="0"/>
          <w:numId w:val="1004"/>
        </w:numPr>
        <w:pStyle w:val="Compact"/>
      </w:pPr>
      <w:r>
        <w:rPr>
          <w:bCs/>
          <w:b/>
        </w:rPr>
        <w:t xml:space="preserve">Invest €500K in Frankfurt Innovation Lab:</w:t>
      </w:r>
      <w:r>
        <w:t xml:space="preserve"> </w:t>
      </w:r>
      <w:r>
        <w:t xml:space="preserve">Establish a dedicated space for co-creating solutions with Deutsche Börse and universities, focusing on blockchain-based credentialing – a top-requested feature from 72% of Frankfurt enterprise clients.</w:t>
      </w:r>
    </w:p>
    <w:p>
      <w:pPr>
        <w:numPr>
          <w:ilvl w:val="0"/>
          <w:numId w:val="1004"/>
        </w:numPr>
        <w:pStyle w:val="Compact"/>
      </w:pPr>
      <w:r>
        <w:rPr>
          <w:bCs/>
          <w:b/>
        </w:rPr>
        <w:t xml:space="preserve">Leverage Frankfurt's EU Hub Position:</w:t>
      </w:r>
      <w:r>
        <w:t xml:space="preserve"> </w:t>
      </w:r>
      <w:r>
        <w:t xml:space="preserve">Develop "Professor EU Compliance Suite" targeting cross-border financial institutions using Frankfurt as the launchpad for pan-European expansion.</w:t>
      </w:r>
    </w:p>
    <w:p>
      <w:pPr>
        <w:numPr>
          <w:ilvl w:val="0"/>
          <w:numId w:val="1004"/>
        </w:numPr>
        <w:pStyle w:val="Compact"/>
      </w:pPr>
      <w:r>
        <w:rPr>
          <w:bCs/>
          <w:b/>
        </w:rPr>
        <w:t xml:space="preserve">Expand University Alliances:</w:t>
      </w:r>
      <w:r>
        <w:t xml:space="preserve"> </w:t>
      </w:r>
      <w:r>
        <w:t xml:space="preserve">Target all 8 universities in the Frankfurt Rhein-Main region by Q1 2024, aiming for 50% market penetration with Professor Academic Suite.</w:t>
      </w:r>
    </w:p>
    <w:bookmarkEnd w:id="31"/>
    <w:bookmarkStart w:id="33" w:name="X3009935365952b8546c1285d427673014a8eef1"/>
    <w:p>
      <w:pPr>
        <w:pStyle w:val="Heading2"/>
      </w:pPr>
      <w:r>
        <w:t xml:space="preserve">VII. Conclusion: The Professor Advantage in Frankfurt</w:t>
      </w:r>
    </w:p>
    <w:p>
      <w:pPr>
        <w:pStyle w:val="FirstParagraph"/>
      </w:pPr>
      <w:r>
        <w:t xml:space="preserve">The Germany Frankfurt market has unequivocally validated the Professor Solutions model. Our revenue growth here outpaces all other European regions by 3.2x, proving that deep market understanding combined with academic precision creates sustainable competitive advantage. As Frankfurt evolves from a financial hub to Europe's edtech innovation capital, Professor Solutions is uniquely positioned to lead this transformation.</w:t>
      </w:r>
    </w:p>
    <w:p>
      <w:pPr>
        <w:pStyle w:val="BodyText"/>
      </w:pPr>
      <w:r>
        <w:t xml:space="preserve">By embedding our "Professor" brand into the city's educational and corporate DNA – evidenced by our Deutsche Börse partnership and university integrations – we've transcended being a vendor to becoming an indispensable catalyst for learning in Germany's economic heartland. The Frankfurt success story is not merely about sales; it's about redefining how knowledge transforms in Europe's most dynamic business environment. We project 25%+ growth for Q4 2023, with Frankfurt driving over 41% of Professor Solutions' total German revenue.</w:t>
      </w:r>
    </w:p>
    <w:p>
      <w:pPr>
        <w:pStyle w:val="BodyText"/>
      </w:pPr>
      <w:r>
        <w:rPr>
          <w:iCs/>
          <w:i/>
        </w:rPr>
        <w:t xml:space="preserve">"Professor Solutions doesn't just sell software in Frankfurt – we build bridges between academic excellence and corporate innovation." – Dr. Anja Müller, Director of Sales Germany</w:t>
      </w:r>
    </w:p>
    <w:bookmarkStart w:id="32" w:name="X81f88ac0e4ae1607d87a7a4e6dd486070da7a17"/>
    <w:p>
      <w:pPr>
        <w:pStyle w:val="Heading3"/>
      </w:pPr>
      <w:r>
        <w:t xml:space="preserve">Report Compiled By: Frankfurt Operations Analytics Team | Professor Solutions Global Headquarters</w:t>
      </w:r>
    </w:p>
    <w:p>
      <w:pPr>
        <w:pStyle w:val="FirstParagraph"/>
      </w:pPr>
      <w:r>
        <w:rPr>
          <w:bCs/>
          <w:b/>
        </w:rPr>
        <w:t xml:space="preserve">Word Count:</w:t>
      </w:r>
      <w:r>
        <w:t xml:space="preserve"> </w:t>
      </w:r>
      <w:r>
        <w:t xml:space="preserve">847</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Germany Frankfurt Market Analysis</dc:title>
  <dc:creator/>
  <dc:language>en</dc:language>
  <cp:keywords/>
  <dcterms:created xsi:type="dcterms:W3CDTF">2026-07-23T09:15:19Z</dcterms:created>
  <dcterms:modified xsi:type="dcterms:W3CDTF">2026-07-23T09:15:19Z</dcterms:modified>
</cp:coreProperties>
</file>

<file path=docProps/custom.xml><?xml version="1.0" encoding="utf-8"?>
<Properties xmlns="http://schemas.openxmlformats.org/officeDocument/2006/custom-properties" xmlns:vt="http://schemas.openxmlformats.org/officeDocument/2006/docPropsVTypes"/>
</file>