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Munich</w:t>
      </w:r>
      <w:r>
        <w:t xml:space="preserve"> </w:t>
      </w:r>
      <w:r>
        <w:t xml:space="preserve">Market</w:t>
      </w:r>
      <w:r>
        <w:t xml:space="preserve"> </w:t>
      </w:r>
      <w:r>
        <w:t xml:space="preserve">Performance</w:t>
      </w:r>
    </w:p>
    <w:bookmarkStart w:id="28" w:name="Xdb146b3947263781227926469fb521f0666ba52"/>
    <w:p>
      <w:pPr>
        <w:pStyle w:val="Heading1"/>
      </w:pPr>
      <w:r>
        <w:t xml:space="preserve">Comprehensive Sales Report: Professor Product Line Performance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Munich Regional Sales Division</w:t>
      </w:r>
    </w:p>
    <w:bookmarkStart w:id="20" w:name="i.-executive-summary"/>
    <w:p>
      <w:pPr>
        <w:pStyle w:val="Heading2"/>
      </w:pPr>
      <w:r>
        <w:t xml:space="preserve">I. Executive Summary</w:t>
      </w:r>
    </w:p>
    <w:p>
      <w:pPr>
        <w:pStyle w:val="FirstParagraph"/>
      </w:pPr>
      <w:r>
        <w:t xml:space="preserve">This comprehensive Sales Report details the performance of the Professor product line across Munich, Germany – our most strategic metropolitan market in Europe. The quarter ending September 30, 2023, demonstrated exceptional growth trajectory with a remarkable 37% year-over-year increase in revenue from the Professor suite of academic solutions. This achievement underscores Munich's critical role as a hub for educational innovation within Germany and the broader European Union. Our market penetration strategy specifically targeting universities and research institutions has yielded unprecedented results, establishing Professor as the preferred academic technology platform in Bavaria's capital city.</w:t>
      </w:r>
    </w:p>
    <w:bookmarkEnd w:id="20"/>
    <w:bookmarkStart w:id="21" w:name="ii.-market-context-why-munich-matters"/>
    <w:p>
      <w:pPr>
        <w:pStyle w:val="Heading2"/>
      </w:pPr>
      <w:r>
        <w:t xml:space="preserve">II. Market Context: Why Munich Matters</w:t>
      </w:r>
    </w:p>
    <w:p>
      <w:pPr>
        <w:pStyle w:val="FirstParagraph"/>
      </w:pPr>
      <w:r>
        <w:t xml:space="preserve">Munich represents far more than just another sales territory; it is the epicenter of Germany's educational and technological advancement. Home to 14 major universities including the Technical University of Munich (TUM), Ludwig Maximilian University, and the Munich School of Management, this city attracts over 120,000 international students annually. The Bavarian government's "Digital Strategy for Higher Education" initiative has created a uniquely receptive market environment for cutting-edge academic tools like Professor. Unlike other German cities with fragmented university systems, Munich offers a concentrated ecosystem where our Professor platform can achieve rapid scale through single-institution deployments that cascade across entire academic networks.</w:t>
      </w:r>
    </w:p>
    <w:bookmarkEnd w:id="21"/>
    <w:bookmarkStart w:id="22" w:name="Xcc459587b4b2c27b4b319ce211d59c72631be67"/>
    <w:p>
      <w:pPr>
        <w:pStyle w:val="Heading2"/>
      </w:pPr>
      <w:r>
        <w:t xml:space="preserve">III. Sales Performance Highlights (Q3 2023)</w:t>
      </w:r>
    </w:p>
    <w:p>
      <w:pPr>
        <w:pStyle w:val="FirstParagraph"/>
      </w:pPr>
      <w:r>
        <w:t xml:space="preserve">Product Segment</w:t>
      </w:r>
    </w:p>
    <w:p>
      <w:pPr>
        <w:pStyle w:val="BodyText"/>
      </w:pPr>
      <w:r>
        <w:t xml:space="preserve">Revenue (€)</w:t>
      </w:r>
    </w:p>
    <w:p>
      <w:pPr>
        <w:pStyle w:val="BodyText"/>
      </w:pPr>
      <w:r>
        <w:t xml:space="preserve">% Growth YoY</w:t>
      </w:r>
    </w:p>
    <w:p>
      <w:pPr>
        <w:pStyle w:val="BodyText"/>
      </w:pPr>
      <w:r>
        <w:t xml:space="preserve">Key Institutional Clients</w:t>
      </w:r>
    </w:p>
    <w:p>
      <w:pPr>
        <w:pStyle w:val="BodyText"/>
      </w:pPr>
      <w:r>
        <w:t xml:space="preserve">Professor LMS (Learning Management System)</w:t>
      </w:r>
    </w:p>
    <w:p>
      <w:pPr>
        <w:pStyle w:val="BodyText"/>
      </w:pPr>
      <w:r>
        <w:t xml:space="preserve">1,842,000</w:t>
      </w:r>
    </w:p>
    <w:p>
      <w:pPr>
        <w:pStyle w:val="BodyText"/>
      </w:pPr>
      <w:r>
        <w:t xml:space="preserve">+42%</w:t>
      </w:r>
    </w:p>
    <w:p>
      <w:pPr>
        <w:pStyle w:val="BodyText"/>
      </w:pPr>
      <w:r>
        <w:t xml:space="preserve">TUM, LMU Munich, Technical University of Applied Sciences</w:t>
      </w:r>
    </w:p>
    <w:p>
      <w:pPr>
        <w:pStyle w:val="BodyText"/>
      </w:pPr>
      <w:r>
        <w:t xml:space="preserve">Professor Research Analytics Suite</w:t>
      </w:r>
    </w:p>
    <w:p>
      <w:pPr>
        <w:pStyle w:val="BodyText"/>
      </w:pPr>
      <w:r>
        <w:t xml:space="preserve">965,500</w:t>
      </w:r>
    </w:p>
    <w:p>
      <w:pPr>
        <w:pStyle w:val="BodyText"/>
      </w:pPr>
      <w:r>
        <w:t xml:space="preserve">Total Professor Revenue (Munich)</w:t>
      </w:r>
    </w:p>
    <w:p>
      <w:pPr>
        <w:pStyle w:val="BodyText"/>
      </w:pPr>
      <w:r>
        <w:t xml:space="preserve">2,807,500</w:t>
      </w:r>
    </w:p>
    <w:p>
      <w:pPr>
        <w:pStyle w:val="BodyText"/>
      </w:pPr>
      <w:r>
        <w:t xml:space="preserve">+37%</w:t>
      </w:r>
    </w:p>
    <w:p>
      <w:pPr>
        <w:pStyle w:val="BodyText"/>
      </w:pPr>
      <w:r>
        <w:t xml:space="preserve">Notably, the Professor LMS segment achieved record-breaking adoption with 17 new university contracts secured in Munich alone – a 64% increase from Q2. This growth was driven by the successful integration of Professor's AI-driven course optimization module, which directly addressed Munich universities' strategic goals for improving student retention rates. The Research Analytics Suite saw particularly strong uptake at Max Planck Institutes, where Professor's data visualization tools have become essential for grant reporting.</w:t>
      </w:r>
    </w:p>
    <w:bookmarkEnd w:id="22"/>
    <w:bookmarkStart w:id="23" w:name="X82eeb93fcb64e9da863742ad3d672c10f3bd81c"/>
    <w:p>
      <w:pPr>
        <w:pStyle w:val="Heading2"/>
      </w:pPr>
      <w:r>
        <w:t xml:space="preserve">IV. Strategic Customer Acquisition in Munich</w:t>
      </w:r>
    </w:p>
    <w:p>
      <w:pPr>
        <w:pStyle w:val="FirstParagraph"/>
      </w:pPr>
      <w:r>
        <w:t xml:space="preserve">Our sales strategy in Germany Munich has evolved from traditional enterprise sales to a consultative partnership model. The Munich team established exclusive partnerships with the Bavarian State Ministry of Education, positioning Professor as the technology standard for all public universities receiving state digitalization funding. This government alignment resulted in three major multi-year framework agreements that collectively represent 32% of our total Munich revenue. Key initiatives include:</w:t>
      </w:r>
    </w:p>
    <w:p>
      <w:pPr>
        <w:numPr>
          <w:ilvl w:val="0"/>
          <w:numId w:val="1001"/>
        </w:numPr>
        <w:pStyle w:val="Compact"/>
      </w:pPr>
      <w:r>
        <w:rPr>
          <w:bCs/>
          <w:b/>
        </w:rPr>
        <w:t xml:space="preserve">University Innovation Labs:</w:t>
      </w:r>
      <w:r>
        <w:t xml:space="preserve"> </w:t>
      </w:r>
      <w:r>
        <w:t xml:space="preserve">Co-located solution development centers at TUM's Center for Digital Learning, enabling real-time customization of Professor modules based on faculty feedback.</w:t>
      </w:r>
    </w:p>
    <w:p>
      <w:pPr>
        <w:numPr>
          <w:ilvl w:val="0"/>
          <w:numId w:val="1001"/>
        </w:numPr>
        <w:pStyle w:val="Compact"/>
      </w:pPr>
      <w:r>
        <w:rPr>
          <w:bCs/>
          <w:b/>
        </w:rPr>
        <w:t xml:space="preserve">Munich Academic Technology Summit:</w:t>
      </w:r>
      <w:r>
        <w:t xml:space="preserve"> </w:t>
      </w:r>
      <w:r>
        <w:t xml:space="preserve">Hosted quarterly events at the Deutsches Museum attracting 400+ professors and administrators, driving 58% of new enterprise leads.</w:t>
      </w:r>
    </w:p>
    <w:p>
      <w:pPr>
        <w:numPr>
          <w:ilvl w:val="0"/>
          <w:numId w:val="1001"/>
        </w:numPr>
        <w:pStyle w:val="Compact"/>
      </w:pPr>
      <w:r>
        <w:rPr>
          <w:bCs/>
          <w:b/>
        </w:rPr>
        <w:t xml:space="preserve">Bundeswehr University Integration:</w:t>
      </w:r>
      <w:r>
        <w:t xml:space="preserve"> </w:t>
      </w:r>
      <w:r>
        <w:t xml:space="preserve">Securing the first military academy contract for Professor's secure collaboration tools – a significant milestone for our enterprise segment.</w:t>
      </w:r>
    </w:p>
    <w:bookmarkEnd w:id="23"/>
    <w:bookmarkStart w:id="24" w:name="X06a5184104d5f9a4e5686e8f8f09c9d39de891f"/>
    <w:p>
      <w:pPr>
        <w:pStyle w:val="Heading2"/>
      </w:pPr>
      <w:r>
        <w:t xml:space="preserve">V. Competitive Differentiation in the Munich Market</w:t>
      </w:r>
    </w:p>
    <w:p>
      <w:pPr>
        <w:pStyle w:val="FirstParagraph"/>
      </w:pPr>
      <w:r>
        <w:t xml:space="preserve">While competing with established players like Blackboard and Moodle, Professor has gained decisive market advantage through three Munich-specific differentiators:</w:t>
      </w:r>
    </w:p>
    <w:p>
      <w:pPr>
        <w:numPr>
          <w:ilvl w:val="0"/>
          <w:numId w:val="1002"/>
        </w:numPr>
        <w:pStyle w:val="Compact"/>
      </w:pPr>
      <w:r>
        <w:rPr>
          <w:bCs/>
          <w:b/>
        </w:rPr>
        <w:t xml:space="preserve">Cultural Alignment:</w:t>
      </w:r>
      <w:r>
        <w:t xml:space="preserve"> </w:t>
      </w:r>
      <w:r>
        <w:t xml:space="preserve">German universities value data sovereignty and privacy above all. Professor's GDPR-compliant cloud infrastructure hosted in Frankfurt (not US) was a critical factor in 23 of our 27 Q3 contracts.</w:t>
      </w:r>
    </w:p>
    <w:p>
      <w:pPr>
        <w:numPr>
          <w:ilvl w:val="0"/>
          <w:numId w:val="1002"/>
        </w:numPr>
        <w:pStyle w:val="Compact"/>
      </w:pPr>
      <w:r>
        <w:rPr>
          <w:bCs/>
          <w:b/>
        </w:rPr>
        <w:t xml:space="preserve">Academic Workflow Integration:</w:t>
      </w:r>
      <w:r>
        <w:t xml:space="preserve"> </w:t>
      </w:r>
      <w:r>
        <w:t xml:space="preserve">Our seamless integration with Munich's widely used campus management systems (like Stud.IP and Moodle) reduced implementation friction to under 45 days – half the industry average.</w:t>
      </w:r>
    </w:p>
    <w:p>
      <w:pPr>
        <w:numPr>
          <w:ilvl w:val="0"/>
          <w:numId w:val="1002"/>
        </w:numPr>
        <w:pStyle w:val="Compact"/>
      </w:pPr>
      <w:r>
        <w:rPr>
          <w:bCs/>
          <w:b/>
        </w:rPr>
        <w:t xml:space="preserve">Localized Support Structure:</w:t>
      </w:r>
      <w:r>
        <w:t xml:space="preserve"> </w:t>
      </w:r>
      <w:r>
        <w:t xml:space="preserve">The Munich office employs 12 German-speaking technical consultants fluent in academic processes, enabling same-day support for critical issues during lecture periods – a key requirement university IT departments prioritized.</w:t>
      </w:r>
    </w:p>
    <w:bookmarkEnd w:id="24"/>
    <w:bookmarkStart w:id="25" w:name="vi.-challenges-and-strategic-response"/>
    <w:p>
      <w:pPr>
        <w:pStyle w:val="Heading2"/>
      </w:pPr>
      <w:r>
        <w:t xml:space="preserve">VI. Challenges and Strategic Response</w:t>
      </w:r>
    </w:p>
    <w:p>
      <w:pPr>
        <w:pStyle w:val="FirstParagraph"/>
      </w:pPr>
      <w:r>
        <w:t xml:space="preserve">Despite strong performance, Munich's market presented unique challenges that required agile adaptation:</w:t>
      </w:r>
    </w:p>
    <w:p>
      <w:pPr>
        <w:numPr>
          <w:ilvl w:val="0"/>
          <w:numId w:val="1003"/>
        </w:numPr>
        <w:pStyle w:val="Compact"/>
      </w:pPr>
      <w:r>
        <w:rPr>
          <w:bCs/>
          <w:b/>
        </w:rPr>
        <w:t xml:space="preserve">Cultural Nuance in Decision-Making:</w:t>
      </w:r>
      <w:r>
        <w:t xml:space="preserve"> </w:t>
      </w:r>
      <w:r>
        <w:t xml:space="preserve">German procurement processes involve multiple stakeholders (IT, faculty, administration). Our sales team implemented a "Stakeholder Mapping Framework" that reduced approval cycles by 32%.</w:t>
      </w:r>
    </w:p>
    <w:p>
      <w:pPr>
        <w:numPr>
          <w:ilvl w:val="0"/>
          <w:numId w:val="1003"/>
        </w:numPr>
        <w:pStyle w:val="Compact"/>
      </w:pPr>
      <w:r>
        <w:rPr>
          <w:bCs/>
          <w:b/>
        </w:rPr>
        <w:t xml:space="preserve">Competitor Price Pressure:</w:t>
      </w:r>
      <w:r>
        <w:t xml:space="preserve"> </w:t>
      </w:r>
      <w:r>
        <w:t xml:space="preserve">A major competitor attempted to undercut with a €150k discount on their first-year license. We countered with a value-based pricing model emphasizing Professor's ROI through reduced faculty workload – ultimately winning 7 of 8 affected accounts.</w:t>
      </w:r>
    </w:p>
    <w:p>
      <w:pPr>
        <w:numPr>
          <w:ilvl w:val="0"/>
          <w:numId w:val="1003"/>
        </w:numPr>
        <w:pStyle w:val="Compact"/>
      </w:pPr>
      <w:r>
        <w:rPr>
          <w:bCs/>
          <w:b/>
        </w:rPr>
        <w:t xml:space="preserve">Talent Retention:</w:t>
      </w:r>
      <w:r>
        <w:t xml:space="preserve"> </w:t>
      </w:r>
      <w:r>
        <w:t xml:space="preserve">High demand for German-speaking tech talent led to 12% turnover in our Munich support team. We launched the "Professor Academic Ambassador Program" partnering with LMU to recruit graduate students, reducing recruitment costs by 40%.</w:t>
      </w:r>
    </w:p>
    <w:bookmarkEnd w:id="25"/>
    <w:bookmarkStart w:id="26" w:name="X268706f3ad48b1a607c8c0ebae6c000db270c6e"/>
    <w:p>
      <w:pPr>
        <w:pStyle w:val="Heading2"/>
      </w:pPr>
      <w:r>
        <w:t xml:space="preserve">VII. Future Outlook: Professor in Munich's Educational Ecosystem</w:t>
      </w:r>
    </w:p>
    <w:p>
      <w:pPr>
        <w:pStyle w:val="FirstParagraph"/>
      </w:pPr>
      <w:r>
        <w:t xml:space="preserve">Germany Munich is positioned as our flagship European market, and the trajectory indicates sustained growth potential exceeding €5 million in annual revenue within two years. Our strategic roadmap for the region includes:</w:t>
      </w:r>
    </w:p>
    <w:p>
      <w:pPr>
        <w:numPr>
          <w:ilvl w:val="0"/>
          <w:numId w:val="1004"/>
        </w:numPr>
        <w:pStyle w:val="Compact"/>
      </w:pPr>
      <w:r>
        <w:t xml:space="preserve">Expansion into vocational training institutions under Bavaria's "Dual Education 2030" initiative.</w:t>
      </w:r>
    </w:p>
    <w:p>
      <w:pPr>
        <w:numPr>
          <w:ilvl w:val="0"/>
          <w:numId w:val="1004"/>
        </w:numPr>
        <w:pStyle w:val="Compact"/>
      </w:pPr>
      <w:r>
        <w:t xml:space="preserve">Development of Professor modules specifically for Munich's leading research clusters (e.g., AI &amp; Robotics, Sustainable Energy).</w:t>
      </w:r>
    </w:p>
    <w:p>
      <w:pPr>
        <w:numPr>
          <w:ilvl w:val="0"/>
          <w:numId w:val="1004"/>
        </w:numPr>
        <w:pStyle w:val="Compact"/>
      </w:pPr>
      <w:r>
        <w:t xml:space="preserve">Establishment of a dedicated Munich Innovation Center focused on co-developing solutions with local universities.</w:t>
      </w:r>
    </w:p>
    <w:p>
      <w:pPr>
        <w:pStyle w:val="FirstParagraph"/>
      </w:pPr>
      <w:r>
        <w:t xml:space="preserve">The success achieved in Germany Munich validates our entire European market strategy. This city has become the proving ground for how Professor can transform academic technology adoption through hyper-localized strategies that respect German educational values while delivering measurable ROI. As one Munich university chancellor recently stated: "Professor isn't just software – it's the new standard we've chosen to build our digital future upon."</w:t>
      </w:r>
    </w:p>
    <w:bookmarkEnd w:id="26"/>
    <w:bookmarkStart w:id="27" w:name="viii.-conclusion"/>
    <w:p>
      <w:pPr>
        <w:pStyle w:val="Heading2"/>
      </w:pPr>
      <w:r>
        <w:t xml:space="preserve">VIII. Conclusion</w:t>
      </w:r>
    </w:p>
    <w:p>
      <w:pPr>
        <w:pStyle w:val="FirstParagraph"/>
      </w:pPr>
      <w:r>
        <w:t xml:space="preserve">The Sales Report for Professor in Germany Munich confirms this market as a critical growth engine for our global business. With 37% YoY revenue growth, strategic government partnerships, and deep integration into Munich's academic infrastructure, we've established Professor as the undisputed leader in university technology solutions within Bavaria. The lessons learned from navigating Munich's unique educational ecosystem will directly inform our expansion across Germany and Europe. As we continue to deliver exceptional results for professors and institutions across this vibrant city, the Professor brand is rapidly becoming synonymous with educational excellence in Germany.</w:t>
      </w:r>
    </w:p>
    <w:p>
      <w:pPr>
        <w:pStyle w:val="BodyText"/>
      </w:pPr>
      <w:r>
        <w:rPr>
          <w:bCs/>
          <w:b/>
        </w:rPr>
        <w:t xml:space="preserve">Appendix Note:</w:t>
      </w:r>
      <w:r>
        <w:t xml:space="preserve"> </w:t>
      </w:r>
      <w:r>
        <w:t xml:space="preserve">All figures are based on verified sales data from Munich's 32 universities, research institutes, and technical academies. This report was compiled using ERP systems compliant with German financial regulations (HGB) and GDPR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Munich Market Performance</dc:title>
  <dc:creator/>
  <dc:language>en</dc:language>
  <cp:keywords/>
  <dcterms:created xsi:type="dcterms:W3CDTF">2026-07-20T19:29:43Z</dcterms:created>
  <dcterms:modified xsi:type="dcterms:W3CDTF">2026-07-20T19:29:43Z</dcterms:modified>
</cp:coreProperties>
</file>

<file path=docProps/custom.xml><?xml version="1.0" encoding="utf-8"?>
<Properties xmlns="http://schemas.openxmlformats.org/officeDocument/2006/custom-properties" xmlns:vt="http://schemas.openxmlformats.org/officeDocument/2006/docPropsVTypes"/>
</file>