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India</w:t>
      </w:r>
      <w:r>
        <w:t xml:space="preserve"> </w:t>
      </w:r>
      <w:r>
        <w:t xml:space="preserve">Mumbai</w:t>
      </w:r>
      <w:r>
        <w:t xml:space="preserve"> </w:t>
      </w:r>
      <w:r>
        <w:t xml:space="preserve">Sales</w:t>
      </w:r>
      <w:r>
        <w:t xml:space="preserve"> </w:t>
      </w:r>
      <w:r>
        <w:t xml:space="preserve">Report:</w:t>
      </w:r>
      <w:r>
        <w:t xml:space="preserve"> </w:t>
      </w:r>
      <w:r>
        <w:t xml:space="preserve">Professor</w:t>
      </w:r>
      <w:r>
        <w:t xml:space="preserve"> </w:t>
      </w:r>
      <w:r>
        <w:t xml:space="preserve">Product</w:t>
      </w:r>
      <w:r>
        <w:t xml:space="preserve"> </w:t>
      </w:r>
      <w:r>
        <w:t xml:space="preserve">Line</w:t>
      </w:r>
    </w:p>
    <w:bookmarkStart w:id="27" w:name="X4ae93ad999cd43837f924d906c65587d5463df2"/>
    <w:p>
      <w:pPr>
        <w:pStyle w:val="Heading1"/>
      </w:pPr>
      <w:r>
        <w:t xml:space="preserve">Comprehensive Sales Report: Professor Product Line in India Mumbai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performance of the Professor product line across Mumbai, India – our most critical urban market for educational technology solutions. The quarter demonstrated remarkable growth with a 37% year-over-year increase in sales revenue, reaching ₹148.5 million (USD $1.72 million). This achievement underscores Mumbai's position as the strategic epicenter of Professor's expansion in India, driving 63% of total regional revenue despite representing only 22% of our physical footprint. The success stems from targeted partnerships with Mumbai-based educational institutions and a refined localization strategy addressing the unique needs of India's premier academic hub.</w:t>
      </w:r>
    </w:p>
    <w:bookmarkEnd w:id="20"/>
    <w:bookmarkStart w:id="21" w:name="ii.-key-performance-indicators"/>
    <w:p>
      <w:pPr>
        <w:pStyle w:val="Heading2"/>
      </w:pPr>
      <w:r>
        <w:t xml:space="preserve">II. Key Performance Indicators</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 (%)</w:t>
      </w:r>
    </w:p>
    <w:p>
      <w:pPr>
        <w:pStyle w:val="BodyText"/>
      </w:pPr>
      <w:r>
        <w:t xml:space="preserve">Sales Revenue (₹)</w:t>
      </w:r>
    </w:p>
    <w:p>
      <w:pPr>
        <w:pStyle w:val="BodyText"/>
      </w:pPr>
      <w:r>
        <w:t xml:space="preserve">148,50,000</w:t>
      </w:r>
    </w:p>
    <w:p>
      <w:pPr>
        <w:pStyle w:val="BodyText"/>
      </w:pPr>
      <w:r>
        <w:t xml:space="preserve">108,53,567</w:t>
      </w:r>
    </w:p>
    <w:p>
      <w:pPr>
        <w:pStyle w:val="BodyText"/>
      </w:pPr>
      <w:r>
        <w:t xml:space="preserve">37.0%</w:t>
      </w:r>
    </w:p>
    <w:p>
      <w:pPr>
        <w:pStyle w:val="BodyText"/>
      </w:pPr>
      <w:r>
        <w:t xml:space="preserve">New Institutional Clients</w:t>
      </w:r>
    </w:p>
    <w:p>
      <w:pPr>
        <w:pStyle w:val="BodyText"/>
      </w:pPr>
      <w:r>
        <w:t xml:space="preserve">42</w:t>
      </w:r>
    </w:p>
    <w:p>
      <w:pPr>
        <w:pStyle w:val="BodyText"/>
      </w:pPr>
      <w:r>
        <w:t xml:space="preserve">&lt;</w:t>
      </w:r>
    </w:p>
    <w:p>
      <w:pPr>
        <w:pStyle w:val="BodyText"/>
      </w:pPr>
      <w:r>
        <w:t xml:space="preserve">29</w:t>
      </w:r>
    </w:p>
    <w:p>
      <w:pPr>
        <w:pStyle w:val="BodyText"/>
      </w:pPr>
      <w:r>
        <w:t xml:space="preserve">&lt;</w:t>
      </w:r>
    </w:p>
    <w:p>
      <w:pPr>
        <w:pStyle w:val="BodyText"/>
      </w:pPr>
      <w:r>
        <w:t xml:space="preserve">44.8%</w:t>
      </w:r>
    </w:p>
    <w:p>
      <w:pPr>
        <w:pStyle w:val="BodyText"/>
      </w:pPr>
      <w:r>
        <w:t xml:space="preserve">Professor Pro Subscriptions Sold</w:t>
      </w:r>
    </w:p>
    <w:p>
      <w:pPr>
        <w:pStyle w:val="BodyText"/>
      </w:pPr>
      <w:r>
        <w:t xml:space="preserve">(Mumbai)&lt;10,850</w:t>
      </w:r>
    </w:p>
    <w:p>
      <w:pPr>
        <w:pStyle w:val="BodyText"/>
      </w:pPr>
      <w:r>
        <w:t xml:space="preserve">Mumbai Market Share (EdTech)</w:t>
      </w:r>
    </w:p>
    <w:p>
      <w:pPr>
        <w:pStyle w:val="BodyText"/>
      </w:pPr>
      <w:r>
        <w:t xml:space="preserve">22.7%</w:t>
      </w:r>
    </w:p>
    <w:p>
      <w:pPr>
        <w:pStyle w:val="BodyText"/>
      </w:pPr>
      <w:r>
        <w:t xml:space="preserve">15.3%</w:t>
      </w:r>
    </w:p>
    <w:p>
      <w:pPr>
        <w:pStyle w:val="BodyText"/>
      </w:pPr>
      <w:r>
        <w:t xml:space="preserve">+7.4 pp</w:t>
      </w:r>
    </w:p>
    <w:p>
      <w:pPr>
        <w:pStyle w:val="BodyText"/>
      </w:pPr>
      <w:r>
        <w:t xml:space="preserve">CAC (Customer Acquisition Cost)</w:t>
      </w:r>
    </w:p>
    <w:p>
      <w:pPr>
        <w:pStyle w:val="BodyText"/>
      </w:pPr>
      <w:r>
        <w:t xml:space="preserve">₹1,850"</w:t>
      </w:r>
      <w:r>
        <w:rPr>
          <w:bCs/>
          <w:b/>
        </w:rPr>
        <w:t xml:space="preserve">d"&gt;&lt; 6% reduction from Q2</w:t>
      </w:r>
    </w:p>
    <w:bookmarkEnd w:id="21"/>
    <w:bookmarkStart w:id="22" w:name="X18027c87cf53ee8da1eae3762452470be8c07cd"/>
    <w:p>
      <w:pPr>
        <w:pStyle w:val="Heading2"/>
      </w:pPr>
      <w:r>
        <w:t xml:space="preserve">III. Mumbai-Specific Sales Analysis: The Professor Advantage</w:t>
      </w:r>
    </w:p>
    <w:p>
      <w:pPr>
        <w:pStyle w:val="FirstParagraph"/>
      </w:pPr>
      <w:r>
        <w:t xml:space="preserve">Mumbai's educational ecosystem – home to over 1,300 schools, 150 colleges, and institutions like IIT Bombay and University of Mumbai – has become the undeniable proving ground for our Professor platform. Our data reveals three critical success factors:</w:t>
      </w:r>
    </w:p>
    <w:p>
      <w:pPr>
        <w:numPr>
          <w:ilvl w:val="0"/>
          <w:numId w:val="1001"/>
        </w:numPr>
        <w:pStyle w:val="Compact"/>
      </w:pPr>
      <w:r>
        <w:rPr>
          <w:bCs/>
          <w:b/>
        </w:rPr>
        <w:t xml:space="preserve">Localized Curriculum Integration:</w:t>
      </w:r>
      <w:r>
        <w:t xml:space="preserve"> </w:t>
      </w:r>
      <w:r>
        <w:t xml:space="preserve">We partnered with Mumbai's Department of Education to adapt Professor's STEM modules to Maharashtra State Board syllabi, resulting in 89% adoption by municipal schools. This customization directly addressed the market's need for compliance with regional curricula, a key differentiator from competitors.</w:t>
      </w:r>
    </w:p>
    <w:p>
      <w:pPr>
        <w:numPr>
          <w:ilvl w:val="0"/>
          <w:numId w:val="1001"/>
        </w:numPr>
        <w:pStyle w:val="Compact"/>
      </w:pPr>
      <w:r>
        <w:rPr>
          <w:bCs/>
          <w:b/>
        </w:rPr>
        <w:t xml:space="preserve">Hybrid Learning Infrastructure:</w:t>
      </w:r>
      <w:r>
        <w:t xml:space="preserve"> </w:t>
      </w:r>
      <w:r>
        <w:t xml:space="preserve">The post-pandemic shift toward blended learning created perfect conditions for Professor's cloud-based platform. Our Mumbai sales team secured contracts with 12 premium private schools (e.g., Cathedral &amp; John Connon, Bombay Scottish) for full-year digital classroom integration – representing 34% of total Q3 revenue.</w:t>
      </w:r>
    </w:p>
    <w:p>
      <w:pPr>
        <w:numPr>
          <w:ilvl w:val="0"/>
          <w:numId w:val="1001"/>
        </w:numPr>
        <w:pStyle w:val="Compact"/>
      </w:pPr>
      <w:r>
        <w:rPr>
          <w:bCs/>
          <w:b/>
        </w:rPr>
        <w:t xml:space="preserve">Government-Backed Initiatives:</w:t>
      </w:r>
      <w:r>
        <w:t xml:space="preserve"> </w:t>
      </w:r>
      <w:r>
        <w:t xml:space="preserve">Through the 'Digital Maharashtra' initiative, Professor was selected as the official platform for Mumbai's 200+ government schools participating in Phase 2 of the state's digital education push. This single contract contributed ₹42.7 million to Q3 sales.</w:t>
      </w:r>
    </w:p>
    <w:bookmarkEnd w:id="22"/>
    <w:bookmarkStart w:id="23" w:name="Xc7e33d3c408eb409aee5b7e82e9462ff2e4756a"/>
    <w:p>
      <w:pPr>
        <w:pStyle w:val="Heading2"/>
      </w:pPr>
      <w:r>
        <w:t xml:space="preserve">IV. Competitive Landscape: Professor vs. Alternatives in Mumbai</w:t>
      </w:r>
    </w:p>
    <w:p>
      <w:pPr>
        <w:pStyle w:val="FirstParagraph"/>
      </w:pPr>
      <w:r>
        <w:t xml:space="preserve">Mumbai's market is highly competitive with players like Byju's, Unacademy, and local solutions (e.g., Eduvista). However, Professor has carved a distinct niche through:</w:t>
      </w:r>
    </w:p>
    <w:p>
      <w:pPr>
        <w:numPr>
          <w:ilvl w:val="0"/>
          <w:numId w:val="1002"/>
        </w:numPr>
        <w:pStyle w:val="Compact"/>
      </w:pPr>
      <w:r>
        <w:rPr>
          <w:bCs/>
          <w:b/>
        </w:rPr>
        <w:t xml:space="preserve">Teacher-Centric Design:</w:t>
      </w:r>
      <w:r>
        <w:t xml:space="preserve"> </w:t>
      </w:r>
      <w:r>
        <w:t xml:space="preserve">92% of Mumbai educators surveyed preferred Professor over competitors due to its intuitive dashboard for lesson planning – addressing the critical pain point of teacher time constraints.</w:t>
      </w:r>
    </w:p>
    <w:p>
      <w:pPr>
        <w:numPr>
          <w:ilvl w:val="0"/>
          <w:numId w:val="1002"/>
        </w:numPr>
        <w:pStyle w:val="Compact"/>
      </w:pPr>
      <w:r>
        <w:rPr>
          <w:bCs/>
          <w:b/>
        </w:rPr>
        <w:t xml:space="preserve">Mobile-First Strategy:</w:t>
      </w:r>
      <w:r>
        <w:t xml:space="preserve"> </w:t>
      </w:r>
      <w:r>
        <w:t xml:space="preserve">78% of Mumbai students access content via low-cost smartphones. Professor's lightweight app (under 20MB) outperformed competitors' resource-heavy platforms in rural-urban Mumbai schools, driving higher engagement scores.</w:t>
      </w:r>
    </w:p>
    <w:p>
      <w:pPr>
        <w:numPr>
          <w:ilvl w:val="0"/>
          <w:numId w:val="1002"/>
        </w:numPr>
        <w:pStyle w:val="Compact"/>
      </w:pPr>
      <w:r>
        <w:rPr>
          <w:bCs/>
          <w:b/>
        </w:rPr>
        <w:t xml:space="preserve">Community Building:</w:t>
      </w:r>
      <w:r>
        <w:t xml:space="preserve"> </w:t>
      </w:r>
      <w:r>
        <w:t xml:space="preserve">Our "Professor Mentor Network" – connecting Mumbai-based subject experts for peer coaching – has generated organic referrals from 67% of new clients, unlike purely transactional competitors.</w:t>
      </w:r>
    </w:p>
    <w:bookmarkEnd w:id="23"/>
    <w:bookmarkStart w:id="24" w:name="Xcd827b53a662b5c01588d2711e0c8e2ad0d52cb"/>
    <w:p>
      <w:pPr>
        <w:pStyle w:val="Heading2"/>
      </w:pPr>
      <w:r>
        <w:t xml:space="preserve">V. Challenges &amp; Strategic Adjustments in India Mumbai</w:t>
      </w:r>
    </w:p>
    <w:p>
      <w:pPr>
        <w:pStyle w:val="FirstParagraph"/>
      </w:pPr>
      <w:r>
        <w:t xml:space="preserve">Despite strong growth, we identified key challenges requiring immediate action:</w:t>
      </w:r>
    </w:p>
    <w:p>
      <w:pPr>
        <w:numPr>
          <w:ilvl w:val="0"/>
          <w:numId w:val="1003"/>
        </w:numPr>
        <w:pStyle w:val="Compact"/>
      </w:pPr>
      <w:r>
        <w:rPr>
          <w:bCs/>
          <w:b/>
        </w:rPr>
        <w:t xml:space="preserve">Payment Processing Delays:</w:t>
      </w:r>
      <w:r>
        <w:t xml:space="preserve"> </w:t>
      </w:r>
      <w:r>
        <w:t xml:space="preserve">31% of schools cited banking delays for quarterly payments. Implemented UPI integration with Mumbai-based banks (HDFC, ICICI) reducing payment cycles from 45 to 7 days.</w:t>
      </w:r>
    </w:p>
    <w:p>
      <w:pPr>
        <w:numPr>
          <w:ilvl w:val="0"/>
          <w:numId w:val="1003"/>
        </w:numPr>
        <w:pStyle w:val="Compact"/>
      </w:pPr>
      <w:r>
        <w:rPr>
          <w:bCs/>
          <w:b/>
        </w:rPr>
        <w:t xml:space="preserve">Regional Language Support:</w:t>
      </w:r>
      <w:r>
        <w:t xml:space="preserve"> </w:t>
      </w:r>
      <w:r>
        <w:t xml:space="preserve">Demand for Marathi and Konkani content surged by 200% in Q3. Accelerated development of localized modules now live in beta for Mumbai schools.</w:t>
      </w:r>
    </w:p>
    <w:p>
      <w:pPr>
        <w:numPr>
          <w:ilvl w:val="0"/>
          <w:numId w:val="1003"/>
        </w:numPr>
        <w:pStyle w:val="Compact"/>
      </w:pPr>
      <w:r>
        <w:rPr>
          <w:bCs/>
          <w:b/>
        </w:rPr>
        <w:t xml:space="preserve">Talent Retention:</w:t>
      </w:r>
      <w:r>
        <w:t xml:space="preserve"> </w:t>
      </w:r>
      <w:r>
        <w:t xml:space="preserve">High turnover among Mumbai sales engineers (18%) due to competitive salaries. Launched "Professor Scholar Program" offering equity to top performers – reducing attrition by 42% in September.</w:t>
      </w:r>
    </w:p>
    <w:bookmarkEnd w:id="24"/>
    <w:bookmarkStart w:id="25" w:name="X619b64c2f288443ab456581f55ee8dae1467356"/>
    <w:p>
      <w:pPr>
        <w:pStyle w:val="Heading2"/>
      </w:pPr>
      <w:r>
        <w:t xml:space="preserve">VI. Future Roadmap for Professor in India Mumbai</w:t>
      </w:r>
    </w:p>
    <w:p>
      <w:pPr>
        <w:pStyle w:val="FirstParagraph"/>
      </w:pPr>
      <w:r>
        <w:t xml:space="preserve">Mumbai will remain the flagship market for Professor's India expansion strategy. Our Q4 focus includes:</w:t>
      </w:r>
    </w:p>
    <w:p>
      <w:pPr>
        <w:numPr>
          <w:ilvl w:val="0"/>
          <w:numId w:val="1004"/>
        </w:numPr>
        <w:pStyle w:val="Compact"/>
      </w:pPr>
      <w:r>
        <w:rPr>
          <w:bCs/>
          <w:b/>
        </w:rPr>
        <w:t xml:space="preserve">Expansion into Tier-2 Cities:</w:t>
      </w:r>
      <w:r>
        <w:t xml:space="preserve"> </w:t>
      </w:r>
      <w:r>
        <w:t xml:space="preserve">Leveraging Mumbai as a hub to deploy Professor in Pune, Nagpur, and Ahmedabad with 50+ new institutional contracts targeted.</w:t>
      </w:r>
    </w:p>
    <w:p>
      <w:pPr>
        <w:numPr>
          <w:ilvl w:val="0"/>
          <w:numId w:val="1004"/>
        </w:numPr>
        <w:pStyle w:val="Compact"/>
      </w:pPr>
      <w:r>
        <w:rPr>
          <w:bCs/>
          <w:b/>
        </w:rPr>
        <w:t xml:space="preserve">Mumbai Education Summit:</w:t>
      </w:r>
      <w:r>
        <w:t xml:space="preserve"> </w:t>
      </w:r>
      <w:r>
        <w:t xml:space="preserve">Hosting the first "Professor Educator Conclave" at JW Marriott Mumbai on November 15. Expected to attract 300+ school leaders from Maharashtra and generate ₹22 million in pipeline.</w:t>
      </w:r>
    </w:p>
    <w:p>
      <w:pPr>
        <w:numPr>
          <w:ilvl w:val="0"/>
          <w:numId w:val="1004"/>
        </w:numPr>
        <w:pStyle w:val="Compact"/>
      </w:pPr>
      <w:r>
        <w:rPr>
          <w:bCs/>
          <w:b/>
        </w:rPr>
        <w:t xml:space="preserve">Government Partnership Scaling:</w:t>
      </w:r>
      <w:r>
        <w:t xml:space="preserve"> </w:t>
      </w:r>
      <w:r>
        <w:t xml:space="preserve">Negotiating state-wide agreement under Maharashtra's Education Modernization Mission – potential for ₹185 million annual contract if approved by December.</w:t>
      </w:r>
    </w:p>
    <w:bookmarkEnd w:id="25"/>
    <w:bookmarkStart w:id="26" w:name="Xc139810c9c47e9c126c0a0cfeccb9a5dfb11eb7"/>
    <w:p>
      <w:pPr>
        <w:pStyle w:val="Heading2"/>
      </w:pPr>
      <w:r>
        <w:t xml:space="preserve">VII. Conclusion: Professor's Mumbai Imperative</w:t>
      </w:r>
    </w:p>
    <w:p>
      <w:pPr>
        <w:pStyle w:val="FirstParagraph"/>
      </w:pPr>
      <w:r>
        <w:t xml:space="preserve">The India Mumbai market has proven indispensable to Professor's global growth trajectory. Our Q3 performance validates that localized education technology solutions, deeply integrated with Mumbai's academic infrastructure, can achieve both commercial success and social impact. The ₹148 million in sales this quarter isn't merely a revenue figure – it represents 750+ classrooms transformed across Mumbai, 12,000 students empowered through personalized learning paths, and 325 educators equipped with cutting-edge pedagogical tools.</w:t>
      </w:r>
    </w:p>
    <w:p>
      <w:pPr>
        <w:pStyle w:val="BodyText"/>
      </w:pPr>
      <w:r>
        <w:t xml:space="preserve">As we conclude this Sales Report, we reaffirm that Mumbai is not just a market – it's our strategic nerve center. Every decision made in India must align with the unique dynamism of Mumbai's educational landscape. The Professor team has demonstrated exceptional agility in this complex environment, and our continued investment here will solidify India as Professor's most profitable region globally. We recommend allocating 35% of Q4 marketing budget exclusively to Mumbai-focused initiatives to capitalize on our current momentum.</w:t>
      </w:r>
    </w:p>
    <w:p>
      <w:pPr>
        <w:pStyle w:val="BodyText"/>
      </w:pPr>
      <w:r>
        <w:rPr>
          <w:bCs/>
          <w:b/>
        </w:rPr>
        <w:t xml:space="preserve">Prepared by:</w:t>
      </w:r>
      <w:r>
        <w:t xml:space="preserve"> </w:t>
      </w:r>
      <w:r>
        <w:t xml:space="preserve">Mumbai Regional Sales Leadership</w:t>
      </w:r>
      <w:r>
        <w:br/>
      </w:r>
      <w:r>
        <w:rPr>
          <w:bCs/>
          <w:b/>
        </w:rPr>
        <w:t xml:space="preserve">Verified by:</w:t>
      </w:r>
      <w:r>
        <w:t xml:space="preserve"> </w:t>
      </w:r>
      <w:r>
        <w:t xml:space="preserve">Head of Asia-Pacific Sales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 Mumbai Sales Report: Professor Product Line</dc:title>
  <dc:creator/>
  <dc:language>en</dc:language>
  <cp:keywords/>
  <dcterms:created xsi:type="dcterms:W3CDTF">2026-07-23T05:13:59Z</dcterms:created>
  <dcterms:modified xsi:type="dcterms:W3CDTF">2026-07-23T05:13:59Z</dcterms:modified>
</cp:coreProperties>
</file>

<file path=docProps/custom.xml><?xml version="1.0" encoding="utf-8"?>
<Properties xmlns="http://schemas.openxmlformats.org/officeDocument/2006/custom-properties" xmlns:vt="http://schemas.openxmlformats.org/officeDocument/2006/docPropsVTypes"/>
</file>