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7" w:name="Xa0a73b38a0a7b29bf8d90a81434dea4bada0677"/>
    <w:p>
      <w:pPr>
        <w:pStyle w:val="Heading1"/>
      </w:pPr>
      <w:r>
        <w:t xml:space="preserve">PROFESSOR SALES REPORT: INDONESIA JAKARTA MARKET PERFORMANCE</w:t>
      </w:r>
    </w:p>
    <w:p>
      <w:pPr>
        <w:pStyle w:val="FirstParagraph"/>
      </w:pPr>
      <w:r>
        <w:t xml:space="preserve">Quarterly Sales Analysis | Q3 2023 | Prepared for Global Leadership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Professor Sales Report</w:t>
      </w:r>
      <w:r>
        <w:t xml:space="preserve"> </w:t>
      </w:r>
      <w:r>
        <w:t xml:space="preserve">details the performance of our educational technology platform across</w:t>
      </w:r>
      <w:r>
        <w:t xml:space="preserve"> </w:t>
      </w:r>
      <w:r>
        <w:rPr>
          <w:iCs/>
          <w:i/>
        </w:rPr>
        <w:t xml:space="preserve">Indonesia Jakarta</w:t>
      </w:r>
      <w:r>
        <w:t xml:space="preserve">, the nation's economic and cultural epicenter. As a market leader in AI-driven learning solutions, Professor has achieved remarkable traction in Jakarta's rapidly evolving education sector. Despite regional economic fluctuations, our Q3 2023 performance demonstrates a 37% year-over-year sales growth within</w:t>
      </w:r>
      <w:r>
        <w:t xml:space="preserve"> </w:t>
      </w:r>
      <w:r>
        <w:rPr>
          <w:bCs/>
          <w:b/>
        </w:rPr>
        <w:t xml:space="preserve">Indonesia Jakarta</w:t>
      </w:r>
      <w:r>
        <w:t xml:space="preserve">, significantly outpacing the national edtech average of 22%. This report confirms Professor's strategic positioning as the preferred learning solution for Jakarta's academic institutions and corporate training departments.</w:t>
      </w:r>
    </w:p>
    <w:bookmarkEnd w:id="20"/>
    <w:bookmarkStart w:id="21" w:name="market-context-in-indonesia-jakarta"/>
    <w:p>
      <w:pPr>
        <w:pStyle w:val="Heading2"/>
      </w:pPr>
      <w:r>
        <w:t xml:space="preserve">Market Context in Indonesia Jakarta</w:t>
      </w:r>
    </w:p>
    <w:p>
      <w:pPr>
        <w:pStyle w:val="FirstParagraph"/>
      </w:pPr>
      <w:r>
        <w:t xml:space="preserve">Jakarta represents a critical market for Professor, housing 47% of Indonesia's private universities, 83% of multinational corporate training centers, and the country's most digitally engaged student population. The city's aggressive digital transformation initiatives under the "Indonesia Digital Economy" roadmap have created unprecedented opportunities for educational technology providers. As noted in Jakarta Metropolitan Development Plan 2023-2045, education technology investment has surged by 41% year-over-year in Greater Jakarta alone.</w:t>
      </w:r>
    </w:p>
    <w:p>
      <w:pPr>
        <w:pStyle w:val="BodyText"/>
      </w:pPr>
      <w:r>
        <w:t xml:space="preserve">The competitive landscape remains dynamic with regional players like Edukasi and global competitors entering the market. However, Professor's localized approach—featuring Bahasa Indonesia language support, culturally relevant curriculum modules, and Jakarta-specific case studies—has created significant differentiation. Our market share in Jakarta's premium education technology segment has grown from 28% to 39% since Q1 2023.</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(IDR)</w:t>
            </w:r>
          </w:p>
        </w:tc>
        <w:tc>
          <w:tcPr/>
          <w:p>
            <w:pPr>
              <w:pStyle w:val="Compact"/>
              <w:jc w:val="right"/>
            </w:pPr>
            <w:r>
              <w:t xml:space="preserve">Rp. 84,250,000,000</w:t>
            </w:r>
          </w:p>
        </w:tc>
        <w:tc>
          <w:tcPr/>
          <w:p>
            <w:pPr>
              <w:pStyle w:val="Compact"/>
              <w:jc w:val="right"/>
            </w:pPr>
            <w:r>
              <w:t xml:space="preserve">Rp. 69,875,324,156</w:t>
            </w:r>
          </w:p>
        </w:tc>
        <w:tc>
          <w:tcPr/>
          <w:p>
            <w:pPr>
              <w:pStyle w:val="Compact"/>
              <w:jc w:val="right"/>
            </w:pPr>
            <w:r>
              <w:t xml:space="preserve">+37.2%</w:t>
            </w:r>
          </w:p>
        </w:tc>
      </w:tr>
      <w:tr>
        <w:tc>
          <w:tcPr/>
          <w:p>
            <w:pPr>
              <w:pStyle w:val="Compact"/>
              <w:jc w:val="left"/>
            </w:pPr>
            <w:r>
              <w:t xml:space="preserve">New Institutional Clients</w:t>
            </w:r>
          </w:p>
        </w:tc>
        <w:tc>
          <w:tcPr/>
          <w:p>
            <w:pPr>
              <w:pStyle w:val="Compact"/>
              <w:jc w:val="right"/>
            </w:pPr>
            <w:r>
              <w:t xml:space="preserve">42</w:t>
            </w:r>
          </w:p>
        </w:tc>
        <w:tc>
          <w:tcPr/>
          <w:p>
            <w:pPr>
              <w:pStyle w:val="Compact"/>
              <w:jc w:val="right"/>
            </w:pPr>
            <w:r>
              <w:t xml:space="preserve">35</w:t>
            </w:r>
          </w:p>
        </w:tc>
        <w:tc>
          <w:tcPr/>
          <w:p>
            <w:pPr>
              <w:pStyle w:val="Compact"/>
              <w:jc w:val="right"/>
            </w:pPr>
            <w:r>
              <w:t xml:space="preserve">+20%</w:t>
            </w:r>
          </w:p>
        </w:tc>
      </w:tr>
      <w:tr>
        <w:tc>
          <w:tcPr/>
          <w:p>
            <w:pPr>
              <w:pStyle w:val="Compact"/>
              <w:jc w:val="left"/>
            </w:pPr>
            <w:r>
              <w:t xml:space="preserve">Corporate Training Contracts</w:t>
            </w:r>
          </w:p>
        </w:tc>
        <w:tc>
          <w:tcPr/>
          <w:p>
            <w:pPr>
              <w:pStyle w:val="Compact"/>
              <w:jc w:val="right"/>
            </w:pPr>
            <w:r>
              <w:t xml:space="preserve">28</w:t>
            </w:r>
          </w:p>
        </w:tc>
        <w:tc>
          <w:tcPr/>
          <w:p>
            <w:pPr>
              <w:pStyle w:val="Compact"/>
              <w:jc w:val="right"/>
            </w:pPr>
            <w:r>
              <w:t xml:space="preserve">22</w:t>
            </w:r>
          </w:p>
        </w:tc>
        <w:tc>
          <w:tcPr/>
          <w:p>
            <w:pPr>
              <w:pStyle w:val="Compact"/>
              <w:jc w:val="right"/>
            </w:pPr>
            <w:r>
              <w:t xml:space="preserve">+27.3%</w:t>
            </w:r>
          </w:p>
        </w:tc>
      </w:tr>
      <w:tr>
        <w:tc>
          <w:tcPr/>
          <w:p>
            <w:pPr>
              <w:pStyle w:val="Compact"/>
              <w:jc w:val="left"/>
            </w:pPr>
            <w:r>
              <w:t xml:space="preserve">Student User Growth</w:t>
            </w:r>
          </w:p>
        </w:tc>
        <w:tc>
          <w:tcPr/>
          <w:p>
            <w:pPr>
              <w:pStyle w:val="Compact"/>
              <w:jc w:val="right"/>
            </w:pPr>
            <w:r>
              <w:t xml:space="preserve">98,500</w:t>
            </w:r>
          </w:p>
        </w:tc>
        <w:tc>
          <w:tcPr/>
          <w:p>
            <w:pPr>
              <w:pStyle w:val="Compact"/>
              <w:jc w:val="right"/>
            </w:pPr>
            <w:r>
              <w:t xml:space="preserve">84,235</w:t>
            </w:r>
          </w:p>
        </w:tc>
        <w:tc>
          <w:tcPr/>
          <w:p>
            <w:pPr>
              <w:pStyle w:val="Compact"/>
              <w:jc w:val="right"/>
            </w:pPr>
            <w:r>
              <w:t xml:space="preserve">+17.2%</w:t>
            </w:r>
          </w:p>
        </w:tc>
      </w:tr>
    </w:tbl>
    <w:bookmarkEnd w:id="22"/>
    <w:bookmarkStart w:id="23" w:name="key-success-drivers-in-jakarta"/>
    <w:p>
      <w:pPr>
        <w:pStyle w:val="Heading2"/>
      </w:pPr>
      <w:r>
        <w:t xml:space="preserve">Key Success Drivers in Jakarta</w:t>
      </w:r>
    </w:p>
    <w:p>
      <w:pPr>
        <w:pStyle w:val="FirstParagraph"/>
      </w:pPr>
      <w:r>
        <w:t xml:space="preserve">Professor's success in</w:t>
      </w:r>
      <w:r>
        <w:t xml:space="preserve"> </w:t>
      </w:r>
      <w:r>
        <w:rPr>
          <w:bCs/>
          <w:b/>
        </w:rPr>
        <w:t xml:space="preserve">Indonesia Jakarta</w:t>
      </w:r>
      <w:r>
        <w:t xml:space="preserve"> </w:t>
      </w:r>
      <w:r>
        <w:t xml:space="preserve">stems from three strategic pillars:</w:t>
      </w:r>
    </w:p>
    <w:p>
      <w:pPr>
        <w:numPr>
          <w:ilvl w:val="0"/>
          <w:numId w:val="1001"/>
        </w:numPr>
        <w:pStyle w:val="Compact"/>
      </w:pPr>
      <w:r>
        <w:rPr>
          <w:bCs/>
          <w:b/>
        </w:rPr>
        <w:t xml:space="preserve">Cultural Integration:</w:t>
      </w:r>
      <w:r>
        <w:t xml:space="preserve"> </w:t>
      </w:r>
      <w:r>
        <w:t xml:space="preserve">Our Jakarta team developed curriculum modules featuring local case studies from PT Pertamina, Gojek, and Bank Central Asia – creating immediate relevance for students and corporate trainees.</w:t>
      </w:r>
    </w:p>
    <w:p>
      <w:pPr>
        <w:numPr>
          <w:ilvl w:val="0"/>
          <w:numId w:val="1001"/>
        </w:numPr>
        <w:pStyle w:val="Compact"/>
      </w:pPr>
      <w:r>
        <w:rPr>
          <w:bCs/>
          <w:b/>
        </w:rPr>
        <w:t xml:space="preserve">Partnership Ecosystem:</w:t>
      </w:r>
      <w:r>
        <w:t xml:space="preserve"> </w:t>
      </w:r>
      <w:r>
        <w:t xml:space="preserve">Strategic alliances with 12 major Jakarta universities (including Universitas Indonesia and Institut Teknologi Bandung branch) have facilitated seamless campus deployment. The "Professor Campus Ambassador" program now includes 3,200 students across 47 Jakarta institutions.</w:t>
      </w:r>
    </w:p>
    <w:p>
      <w:pPr>
        <w:numPr>
          <w:ilvl w:val="0"/>
          <w:numId w:val="1001"/>
        </w:numPr>
        <w:pStyle w:val="Compact"/>
      </w:pPr>
      <w:r>
        <w:rPr>
          <w:bCs/>
          <w:b/>
        </w:rPr>
        <w:t xml:space="preserve">Mobile-First Localization:</w:t>
      </w:r>
      <w:r>
        <w:t xml:space="preserve"> </w:t>
      </w:r>
      <w:r>
        <w:t xml:space="preserve">Recognizing Jakarta's smartphone penetration rate of 86%, we optimized Professor for low-bandwidth connectivity and developed a Bahasa Indonesia voice assistant feature that increased user engagement by 63%.</w:t>
      </w:r>
    </w:p>
    <w:bookmarkEnd w:id="23"/>
    <w:bookmarkStart w:id="24" w:name="jakarta-specific-challenges-solutions"/>
    <w:p>
      <w:pPr>
        <w:pStyle w:val="Heading2"/>
      </w:pPr>
      <w:r>
        <w:t xml:space="preserve">Jakarta-Specific Challenges &amp; Solutions</w:t>
      </w:r>
    </w:p>
    <w:p>
      <w:pPr>
        <w:pStyle w:val="FirstParagraph"/>
      </w:pPr>
      <w:r>
        <w:t xml:space="preserve">Despite strong growth, our Jakarta market team identified critical challenges requiring immediate attention:</w:t>
      </w:r>
    </w:p>
    <w:p>
      <w:pPr>
        <w:pStyle w:val="BodyText"/>
      </w:pPr>
      <w:r>
        <w:rPr>
          <w:bCs/>
          <w:b/>
        </w:rPr>
        <w:t xml:space="preserve">Challenge:</w:t>
      </w:r>
      <w:r>
        <w:t xml:space="preserve"> </w:t>
      </w:r>
      <w:r>
        <w:t xml:space="preserve">Price sensitivity among Jakarta public universities due to government budget constraints.</w:t>
      </w:r>
      <w:r>
        <w:br/>
      </w:r>
      <w:r>
        <w:rPr>
          <w:bCs/>
          <w:b/>
        </w:rPr>
        <w:t xml:space="preserve">Solution:</w:t>
      </w:r>
      <w:r>
        <w:t xml:space="preserve"> </w:t>
      </w:r>
      <w:r>
        <w:t xml:space="preserve">Implemented a "Professor for Community" program offering subsidized tiered pricing with payment plans through Bank Mandiri's education financing arm, securing 17 new public university contracts in Q3.</w:t>
      </w:r>
    </w:p>
    <w:p>
      <w:pPr>
        <w:pStyle w:val="BodyText"/>
      </w:pPr>
      <w:r>
        <w:rPr>
          <w:bCs/>
          <w:b/>
        </w:rPr>
        <w:t xml:space="preserve">Challenge:</w:t>
      </w:r>
      <w:r>
        <w:t xml:space="preserve"> </w:t>
      </w:r>
      <w:r>
        <w:t xml:space="preserve">Competition from free platforms like Google Classroom in Jakarta schools.</w:t>
      </w:r>
      <w:r>
        <w:br/>
      </w:r>
      <w:r>
        <w:rPr>
          <w:bCs/>
          <w:b/>
        </w:rPr>
        <w:t xml:space="preserve">Solution:</w:t>
      </w:r>
      <w:r>
        <w:t xml:space="preserve"> </w:t>
      </w:r>
      <w:r>
        <w:t xml:space="preserve">Launched "Professor Plus" value bundle including certified professional development credits recognized by the Indonesian Ministry of Education – converting 68% of free platform users to paid subscriptions.</w:t>
      </w:r>
    </w:p>
    <w:bookmarkEnd w:id="24"/>
    <w:bookmarkStart w:id="25" w:name="X86246aebb66c205713166391f44c4f1f7789525"/>
    <w:p>
      <w:pPr>
        <w:pStyle w:val="Heading2"/>
      </w:pPr>
      <w:r>
        <w:t xml:space="preserve">Recommendations for Jakarta Market Expansion</w:t>
      </w:r>
    </w:p>
    <w:p>
      <w:pPr>
        <w:numPr>
          <w:ilvl w:val="0"/>
          <w:numId w:val="1002"/>
        </w:numPr>
        <w:pStyle w:val="Compact"/>
      </w:pPr>
      <w:r>
        <w:rPr>
          <w:bCs/>
          <w:b/>
        </w:rPr>
        <w:t xml:space="preserve">Enhance Jakarta Regional Office:</w:t>
      </w:r>
      <w:r>
        <w:t xml:space="preserve"> </w:t>
      </w:r>
      <w:r>
        <w:t xml:space="preserve">Allocate additional resources to expand our Jakarta office from 45 to 60 staff by Q1 2024, focusing on localized customer success management for corporate clients.</w:t>
      </w:r>
    </w:p>
    <w:p>
      <w:pPr>
        <w:numPr>
          <w:ilvl w:val="0"/>
          <w:numId w:val="1002"/>
        </w:numPr>
        <w:pStyle w:val="Compact"/>
      </w:pPr>
      <w:r>
        <w:rPr>
          <w:bCs/>
          <w:b/>
        </w:rPr>
        <w:t xml:space="preserve">Leverage Government Partnerships:</w:t>
      </w:r>
      <w:r>
        <w:t xml:space="preserve"> </w:t>
      </w:r>
      <w:r>
        <w:t xml:space="preserve">Pursue strategic collaboration with the Ministry of Education's "Rumah Belajar" initiative to position Professor as the preferred digital platform for national education standards.</w:t>
      </w:r>
    </w:p>
    <w:p>
      <w:pPr>
        <w:numPr>
          <w:ilvl w:val="0"/>
          <w:numId w:val="1002"/>
        </w:numPr>
        <w:pStyle w:val="Compact"/>
      </w:pPr>
      <w:r>
        <w:rPr>
          <w:bCs/>
          <w:b/>
        </w:rPr>
        <w:t xml:space="preserve">Develop Jakarta-Specific Content:</w:t>
      </w:r>
      <w:r>
        <w:t xml:space="preserve"> </w:t>
      </w:r>
      <w:r>
        <w:t xml:space="preserve">Create new curriculum modules focused on ASEAN business dynamics and Indonesian entrepreneurship, capitalizing on Jakarta's role as Southeast Asia's startup hub.</w:t>
      </w:r>
    </w:p>
    <w:bookmarkEnd w:id="25"/>
    <w:bookmarkStart w:id="26" w:name="X069d5dbeff9076fa751894ea8687b64536576b3"/>
    <w:p>
      <w:pPr>
        <w:pStyle w:val="Heading2"/>
      </w:pPr>
      <w:r>
        <w:t xml:space="preserve">Conclusion: Professor's Path to Dominance in Indonesia Jakarta</w:t>
      </w:r>
    </w:p>
    <w:p>
      <w:pPr>
        <w:pStyle w:val="FirstParagraph"/>
      </w:pPr>
      <w:r>
        <w:t xml:space="preserve">This</w:t>
      </w:r>
      <w:r>
        <w:t xml:space="preserve"> </w:t>
      </w:r>
      <w:r>
        <w:rPr>
          <w:bCs/>
          <w:b/>
        </w:rPr>
        <w:t xml:space="preserve">Professor Sales Report</w:t>
      </w:r>
      <w:r>
        <w:t xml:space="preserve"> </w:t>
      </w:r>
      <w:r>
        <w:t xml:space="preserve">unequivocally demonstrates our leadership position in the most vital market for Indonesian education technology. The Q3 results reflect not just sales growth, but deep market penetration across Jakarta's academic and corporate landscapes. As Indonesia's digital economy accelerates, with Jakarta projected to drive 61% of national edtech growth through 2025, Professor is positioned as the essential learning platform for a generation that demands localized, intelligent education solutions.</w:t>
      </w:r>
    </w:p>
    <w:p>
      <w:pPr>
        <w:pStyle w:val="BodyText"/>
      </w:pPr>
      <w:r>
        <w:t xml:space="preserve">We are particularly encouraged by the strong adoption in Jakarta's corporate training sector – with major companies like Tokopedia and Bukalapak implementing Professor enterprise-wide. This signals a strategic shift toward continuous learning culture, directly aligning with our core value proposition.</w:t>
      </w:r>
    </w:p>
    <w:p>
      <w:pPr>
        <w:pStyle w:val="BodyText"/>
      </w:pPr>
      <w:r>
        <w:t xml:space="preserve">Looking ahead, the next phase of Professor's growth in</w:t>
      </w:r>
      <w:r>
        <w:t xml:space="preserve"> </w:t>
      </w:r>
      <w:r>
        <w:rPr>
          <w:bCs/>
          <w:b/>
        </w:rPr>
        <w:t xml:space="preserve">Indonesia Jakarta</w:t>
      </w:r>
      <w:r>
        <w:t xml:space="preserve"> </w:t>
      </w:r>
      <w:r>
        <w:t xml:space="preserve">will focus on AI personalization at scale. By Q4 2023, we will deploy our new "Jakarta Learning Path" AI engine that adapts to regional learning patterns and cultural context – a capability no competitor currently offers in this market. This initiative is expected to drive an additional 25% revenue growth in Jakarta by Q1 2024.</w:t>
      </w:r>
    </w:p>
    <w:p>
      <w:pPr>
        <w:pStyle w:val="BodyText"/>
      </w:pPr>
      <w:r>
        <w:t xml:space="preserve">Prepared by Professor Global Sales Intelligence Team | Jakarta Office, Indonesia</w:t>
      </w:r>
      <w:r>
        <w:br/>
      </w:r>
      <w:r>
        <w:t xml:space="preserve">Date: October 15, 2023 | Confidential for Internal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Indonesia Jakarta Market Analysis</dc:title>
  <dc:creator/>
  <dc:language>en</dc:language>
  <cp:keywords/>
  <dcterms:created xsi:type="dcterms:W3CDTF">2026-07-23T15:21:10Z</dcterms:created>
  <dcterms:modified xsi:type="dcterms:W3CDTF">2026-07-23T15:21:10Z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