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w:t>
      </w:r>
      <w:r>
        <w:t xml:space="preserve"> </w:t>
      </w:r>
      <w:r>
        <w:t xml:space="preserve">Iran</w:t>
      </w:r>
      <w:r>
        <w:t xml:space="preserve"> </w:t>
      </w:r>
      <w:r>
        <w:t xml:space="preserve">Tehran</w:t>
      </w:r>
      <w:r>
        <w:t xml:space="preserve"> </w:t>
      </w:r>
      <w:r>
        <w:t xml:space="preserve">Market</w:t>
      </w:r>
    </w:p>
    <w:bookmarkStart w:id="30" w:name="X49c791386c0dab490a99d7c66b1b88eadea08fc"/>
    <w:p>
      <w:pPr>
        <w:pStyle w:val="Heading1"/>
      </w:pPr>
      <w:r>
        <w:t xml:space="preserve">Official Sales Report for Professor Products in Iran Tehran</w:t>
      </w:r>
    </w:p>
    <w:p>
      <w:pPr>
        <w:pStyle w:val="FirstParagraph"/>
      </w:pPr>
      <w:r>
        <w:t xml:space="preserve">Report Period: 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Professor Solutions' educational technology products across Tehran, Iran's economic and academic epicenter. The quarter demonstrated exceptional growth trajectory with a remarkable</w:t>
      </w:r>
      <w:r>
        <w:t xml:space="preserve"> </w:t>
      </w:r>
      <w:r>
        <w:rPr>
          <w:bCs/>
          <w:b/>
        </w:rPr>
        <w:t xml:space="preserve">37% year-over-year increase</w:t>
      </w:r>
      <w:r>
        <w:t xml:space="preserve"> </w:t>
      </w:r>
      <w:r>
        <w:t xml:space="preserve">in revenue generation within the Tehran metropolitan area. This success stems from strategic market penetration, localized product adaptation, and deepening relationships with key academic institutions throughout Iran Tehran. The report confirms Professor's position as the leading educational software provider in Iran's capital city, exceeding all sales targets by 18% while establishing new benchmarks for digital education solutions in the region.</w:t>
      </w:r>
    </w:p>
    <w:bookmarkEnd w:id="20"/>
    <w:bookmarkStart w:id="21" w:name="market-context-professor-in-iran-tehran"/>
    <w:p>
      <w:pPr>
        <w:pStyle w:val="Heading2"/>
      </w:pPr>
      <w:r>
        <w:t xml:space="preserve">Market Context: Professor in Iran Tehran</w:t>
      </w:r>
    </w:p>
    <w:p>
      <w:pPr>
        <w:pStyle w:val="FirstParagraph"/>
      </w:pPr>
      <w:r>
        <w:t xml:space="preserve">Tehran represents a critical market for Professor's global expansion strategy. As Iran's political, cultural, and educational hub housing over 15 million residents and more than 100 universities including the prestigious University of Tehran and Sharif University, this city serves as the nerve center for academic innovation in Iran. The Iranian government's recent educational technology initiatives have created unprecedented demand for high-quality digital learning platforms that align with national curriculum standards. Professor has capitalized on this opportunity by developing a localized version of its flagship "ProfessorAI" platform specifically designed for Persian-language curricula and Tehran's unique pedagogical requirements.</w:t>
      </w:r>
    </w:p>
    <w:bookmarkEnd w:id="21"/>
    <w:bookmarkStart w:id="22" w:name="X7064f71f24fb32a7cff1b72fb763035adab6e93"/>
    <w:p>
      <w:pPr>
        <w:pStyle w:val="Heading2"/>
      </w:pPr>
      <w:r>
        <w:t xml:space="preserve">Sales Performance Highlights (Tehran Market)</w:t>
      </w:r>
    </w:p>
    <w:p>
      <w:pPr>
        <w:numPr>
          <w:ilvl w:val="0"/>
          <w:numId w:val="1001"/>
        </w:numPr>
        <w:pStyle w:val="Compact"/>
      </w:pPr>
      <w:r>
        <w:rPr>
          <w:bCs/>
          <w:b/>
        </w:rPr>
        <w:t xml:space="preserve">Revenue Growth:</w:t>
      </w:r>
      <w:r>
        <w:t xml:space="preserve"> </w:t>
      </w:r>
      <w:r>
        <w:t xml:space="preserve">Total sales reached $1,845,000 USD (up 37% YoY), with Tehran accounting for 78% of Professor's entire Iran market revenue</w:t>
      </w:r>
    </w:p>
    <w:p>
      <w:pPr>
        <w:numPr>
          <w:ilvl w:val="0"/>
          <w:numId w:val="1001"/>
        </w:numPr>
        <w:pStyle w:val="Compact"/>
      </w:pPr>
      <w:r>
        <w:rPr>
          <w:bCs/>
          <w:b/>
        </w:rPr>
        <w:t xml:space="preserve">New Institutional Partnerships:</w:t>
      </w:r>
      <w:r>
        <w:t xml:space="preserve"> </w:t>
      </w:r>
      <w:r>
        <w:t xml:space="preserve">Secured contracts with 23 new public and private educational institutions across Tehran including the Ministry of Education's Digital Learning Initiative</w:t>
      </w:r>
    </w:p>
    <w:p>
      <w:pPr>
        <w:numPr>
          <w:ilvl w:val="0"/>
          <w:numId w:val="1001"/>
        </w:numPr>
        <w:pStyle w:val="Compact"/>
      </w:pPr>
      <w:r>
        <w:rPr>
          <w:bCs/>
          <w:b/>
        </w:rPr>
        <w:t xml:space="preserve">Product Adoption:</w:t>
      </w:r>
      <w:r>
        <w:t xml:space="preserve"> </w:t>
      </w:r>
      <w:r>
        <w:t xml:space="preserve">ProfessorAI platform achieved 65% market penetration among Tehran's top 50 schools, up from 42% in Q2</w:t>
      </w:r>
    </w:p>
    <w:p>
      <w:pPr>
        <w:numPr>
          <w:ilvl w:val="0"/>
          <w:numId w:val="1001"/>
        </w:numPr>
        <w:pStyle w:val="Compact"/>
      </w:pPr>
      <w:r>
        <w:rPr>
          <w:bCs/>
          <w:b/>
        </w:rPr>
        <w:t xml:space="preserve">Subscription Growth:</w:t>
      </w:r>
      <w:r>
        <w:t xml:space="preserve"> </w:t>
      </w:r>
      <w:r>
        <w:t xml:space="preserve">Added 14,700 new active student accounts in Tehran during the quarter alone</w:t>
      </w:r>
    </w:p>
    <w:p>
      <w:pPr>
        <w:numPr>
          <w:ilvl w:val="0"/>
          <w:numId w:val="1001"/>
        </w:numPr>
        <w:pStyle w:val="Compact"/>
      </w:pPr>
      <w:r>
        <w:rPr>
          <w:bCs/>
          <w:b/>
        </w:rPr>
        <w:t xml:space="preserve">Enterprise Sales:</w:t>
      </w:r>
      <w:r>
        <w:t xml:space="preserve"> </w:t>
      </w:r>
      <w:r>
        <w:t xml:space="preserve">Closed a landmark $450,000 contract with Tehran University of Medical Sciences for specialized medical education modules</w:t>
      </w:r>
    </w:p>
    <w:bookmarkEnd w:id="22"/>
    <w:bookmarkStart w:id="26" w:name="tehran-specific-success-factors"/>
    <w:p>
      <w:pPr>
        <w:pStyle w:val="Heading2"/>
      </w:pPr>
      <w:r>
        <w:t xml:space="preserve">Tehran-Specific Success Factors</w:t>
      </w:r>
    </w:p>
    <w:p>
      <w:pPr>
        <w:pStyle w:val="FirstParagraph"/>
      </w:pPr>
      <w:r>
        <w:t xml:space="preserve">The extraordinary performance in Iran Tehran can be attributed to three critical strategies:</w:t>
      </w:r>
    </w:p>
    <w:bookmarkStart w:id="23" w:name="X5ed289cdf7791f59ddbbe9c509f345b16224f0c"/>
    <w:p>
      <w:pPr>
        <w:pStyle w:val="Heading3"/>
      </w:pPr>
      <w:r>
        <w:t xml:space="preserve">Localized Product Adaptation for Iranian Context</w:t>
      </w:r>
    </w:p>
    <w:p>
      <w:pPr>
        <w:pStyle w:val="FirstParagraph"/>
      </w:pPr>
      <w:r>
        <w:t xml:space="preserve">Professor invested heavily in adapting its technology to meet Iran's unique educational landscape. This included developing Persian-language AI tutors that incorporate local historical and cultural references, creating content aligned with the Ministry of Education's latest curriculum updates, and implementing data compliance solutions that adhere strictly to Iran's new digital privacy regulations (Amir Kabir Decree). The "Professor for Tehran" initiative specifically features regional case studies from Iranian cities like Isfahan and Shiraz to enhance student engagement.</w:t>
      </w:r>
    </w:p>
    <w:bookmarkEnd w:id="23"/>
    <w:bookmarkStart w:id="24" w:name="X8e65a640d08854a7863d90b0676eca0620c9450"/>
    <w:p>
      <w:pPr>
        <w:pStyle w:val="Heading3"/>
      </w:pPr>
      <w:r>
        <w:t xml:space="preserve">Strategic Partnerships with Tehran Institutions</w:t>
      </w:r>
    </w:p>
    <w:p>
      <w:pPr>
        <w:pStyle w:val="FirstParagraph"/>
      </w:pPr>
      <w:r>
        <w:t xml:space="preserve">A key differentiator was Professor's partnership with the Tehran Education Bureau, which facilitated seamless implementation across 87 public schools. The company organized specialized training workshops for over 1,200 educators at the Tehran International Convention Center, featuring local education experts and university professors. These sessions addressed Tehran-specific challenges such as large classroom sizes (averaging 45 students) and resource constraints through Professor's adaptive learning algorithms.</w:t>
      </w:r>
    </w:p>
    <w:bookmarkEnd w:id="24"/>
    <w:bookmarkStart w:id="25" w:name="X1eb8de26ab5522c8702f0b8c0eea8758814792a"/>
    <w:p>
      <w:pPr>
        <w:pStyle w:val="Heading3"/>
      </w:pPr>
      <w:r>
        <w:t xml:space="preserve">Community Engagement in Iran's Academic Hub</w:t>
      </w:r>
    </w:p>
    <w:p>
      <w:pPr>
        <w:pStyle w:val="FirstParagraph"/>
      </w:pPr>
      <w:r>
        <w:t xml:space="preserve">Professor established a dedicated Tehran Customer Success Center staffed by Persian-speaking education specialists, enabling immediate support for institutions across the metropolis. The company also sponsored the "Tehran Digital Education Summit" at Azadi Tower, attracting over 500 educational leaders to showcase Professor's solutions. This community investment fostered trust and positioned Professor as an indispensable partner in Iran's academic transformation.</w:t>
      </w:r>
    </w:p>
    <w:bookmarkEnd w:id="25"/>
    <w:bookmarkEnd w:id="26"/>
    <w:bookmarkStart w:id="27" w:name="challenges-and-strategic-responses"/>
    <w:p>
      <w:pPr>
        <w:pStyle w:val="Heading2"/>
      </w:pPr>
      <w:r>
        <w:t xml:space="preserve">Challenges and Strategic Responses</w:t>
      </w:r>
    </w:p>
    <w:p>
      <w:pPr>
        <w:pStyle w:val="FirstParagraph"/>
      </w:pPr>
      <w:r>
        <w:t xml:space="preserve">Despite remarkable success, the Tehran market presented significant challenges that Professor navigated successfully:</w:t>
      </w:r>
    </w:p>
    <w:p>
      <w:pPr>
        <w:numPr>
          <w:ilvl w:val="0"/>
          <w:numId w:val="1002"/>
        </w:numPr>
        <w:pStyle w:val="Compact"/>
      </w:pPr>
      <w:r>
        <w:rPr>
          <w:bCs/>
          <w:b/>
        </w:rPr>
        <w:t xml:space="preserve">Currency Volatility:</w:t>
      </w:r>
      <w:r>
        <w:t xml:space="preserve"> </w:t>
      </w:r>
      <w:r>
        <w:t xml:space="preserve">Mitigated through fixed-price contracts in USD for institutional agreements and localized payment processing via Iran's National Payment System (INPS)</w:t>
      </w:r>
    </w:p>
    <w:p>
      <w:pPr>
        <w:numPr>
          <w:ilvl w:val="0"/>
          <w:numId w:val="1002"/>
        </w:numPr>
        <w:pStyle w:val="Compact"/>
      </w:pPr>
      <w:r>
        <w:rPr>
          <w:bCs/>
          <w:b/>
        </w:rPr>
        <w:t xml:space="preserve">Regulatory Complexity:</w:t>
      </w:r>
      <w:r>
        <w:t xml:space="preserve"> </w:t>
      </w:r>
      <w:r>
        <w:t xml:space="preserve">Overcome by collaborating with Tehran-based legal advisors to ensure full compliance with all educational technology requirements</w:t>
      </w:r>
    </w:p>
    <w:p>
      <w:pPr>
        <w:numPr>
          <w:ilvl w:val="0"/>
          <w:numId w:val="1002"/>
        </w:numPr>
        <w:pStyle w:val="Compact"/>
      </w:pPr>
      <w:r>
        <w:rPr>
          <w:bCs/>
          <w:b/>
        </w:rPr>
        <w:t xml:space="preserve">Competition from Local Providers:</w:t>
      </w:r>
      <w:r>
        <w:t xml:space="preserve"> </w:t>
      </w:r>
      <w:r>
        <w:t xml:space="preserve">Countered through superior AI capabilities and Professor's proven global success metrics demonstrated during Tehran University partnerships</w:t>
      </w:r>
    </w:p>
    <w:bookmarkEnd w:id="27"/>
    <w:bookmarkStart w:id="28" w:name="X762e0ba59c51ea4e3c2996726b1f1d86394a4e6"/>
    <w:p>
      <w:pPr>
        <w:pStyle w:val="Heading2"/>
      </w:pPr>
      <w:r>
        <w:t xml:space="preserve">Future Outlook for Professor in Iran Tehran</w:t>
      </w:r>
    </w:p>
    <w:p>
      <w:pPr>
        <w:pStyle w:val="FirstParagraph"/>
      </w:pPr>
      <w:r>
        <w:t xml:space="preserve">The Q3 results position Professor for accelerated growth in Iran Tehran. Immediate priorities include:</w:t>
      </w:r>
    </w:p>
    <w:p>
      <w:pPr>
        <w:numPr>
          <w:ilvl w:val="0"/>
          <w:numId w:val="1003"/>
        </w:numPr>
        <w:pStyle w:val="Compact"/>
      </w:pPr>
      <w:r>
        <w:t xml:space="preserve">Expanding to all 1,000+ schools within Greater Tehran by Q2 2024</w:t>
      </w:r>
    </w:p>
    <w:p>
      <w:pPr>
        <w:numPr>
          <w:ilvl w:val="0"/>
          <w:numId w:val="1003"/>
        </w:numPr>
        <w:pStyle w:val="Compact"/>
      </w:pPr>
      <w:r>
        <w:t xml:space="preserve">Developing specialized modules for Tehran's emerging STEM-focused high schools</w:t>
      </w:r>
    </w:p>
    <w:p>
      <w:pPr>
        <w:numPr>
          <w:ilvl w:val="0"/>
          <w:numId w:val="1003"/>
        </w:numPr>
        <w:pStyle w:val="Compact"/>
      </w:pPr>
      <w:r>
        <w:t xml:space="preserve">Launching a "Professor Educator Certification Program" in collaboration with Tehran University of Education</w:t>
      </w:r>
    </w:p>
    <w:p>
      <w:pPr>
        <w:numPr>
          <w:ilvl w:val="0"/>
          <w:numId w:val="1003"/>
        </w:numPr>
        <w:pStyle w:val="Compact"/>
      </w:pPr>
      <w:r>
        <w:t xml:space="preserve">Establishing a permanent R&amp;D center in Tehran to accelerate local innovation</w:t>
      </w:r>
    </w:p>
    <w:p>
      <w:pPr>
        <w:pStyle w:val="FirstParagraph"/>
      </w:pPr>
      <w:r>
        <w:t xml:space="preserve">The data confirms Iran Tehran's status as Professor's most valuable market. The city's educational institutions are increasingly recognizing Professor not merely as a vendor, but as an essential partner in building Iran's digital education future. This strategic relationship has created a powerful virtuous cycle: higher adoption rates improve our AI algorithms through real-world Tehran usage data, which further enhances product value for all institutions across the metropolis.</w:t>
      </w:r>
    </w:p>
    <w:bookmarkEnd w:id="28"/>
    <w:bookmarkStart w:id="29" w:name="conclusion"/>
    <w:p>
      <w:pPr>
        <w:pStyle w:val="Heading2"/>
      </w:pPr>
      <w:r>
        <w:t xml:space="preserve">Conclusion</w:t>
      </w:r>
    </w:p>
    <w:p>
      <w:pPr>
        <w:pStyle w:val="FirstParagraph"/>
      </w:pPr>
      <w:r>
        <w:t xml:space="preserve">The Q3 Sales Report for Professor in Iran Tehran demonstrates exceptional market leadership and strategic execution. By deeply understanding Tehran's unique educational ecosystem, adapting solutions to Iranian context, and investing in local partnerships, Professor has transformed from a foreign technology provider into an indispensable component of Iran's academic infrastructure. The 37% growth rate positions Professor for sustainable dominance in one of the Middle East's most dynamic education markets. As we enter Q4 2023, our focus remains on scaling this success while continuing to deliver unparalleled value to every educational institution across Iran Tehran.</w:t>
      </w:r>
    </w:p>
    <w:p>
      <w:pPr>
        <w:pStyle w:val="BodyText"/>
      </w:pPr>
      <w:r>
        <w:t xml:space="preserve">Prepared by: Professor Global Sales Intelligence Team</w:t>
      </w:r>
      <w:r>
        <w:br/>
      </w:r>
      <w:r>
        <w:t xml:space="preserve">Date: October 15, 2023</w:t>
      </w:r>
      <w:r>
        <w:br/>
      </w:r>
      <w:r>
        <w:t xml:space="preserve">Confirmed by: CEO, Professor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 Iran Tehran Market</dc:title>
  <dc:creator/>
  <dc:language>en</dc:language>
  <cp:keywords/>
  <dcterms:created xsi:type="dcterms:W3CDTF">2026-07-20T15:36:47Z</dcterms:created>
  <dcterms:modified xsi:type="dcterms:W3CDTF">2026-07-20T15:36:47Z</dcterms:modified>
</cp:coreProperties>
</file>

<file path=docProps/custom.xml><?xml version="1.0" encoding="utf-8"?>
<Properties xmlns="http://schemas.openxmlformats.org/officeDocument/2006/custom-properties" xmlns:vt="http://schemas.openxmlformats.org/officeDocument/2006/docPropsVTypes"/>
</file>