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Kyoto</w:t>
      </w:r>
      <w:r>
        <w:t xml:space="preserve"> </w:t>
      </w:r>
      <w:r>
        <w:t xml:space="preserve">Sales</w:t>
      </w:r>
      <w:r>
        <w:t xml:space="preserve"> </w:t>
      </w:r>
      <w:r>
        <w:t xml:space="preserve">Report</w:t>
      </w:r>
      <w:r>
        <w:t xml:space="preserve"> </w:t>
      </w:r>
      <w:r>
        <w:t xml:space="preserve">-</w:t>
      </w:r>
      <w:r>
        <w:t xml:space="preserve"> </w:t>
      </w:r>
      <w:r>
        <w:t xml:space="preserve">Professor</w:t>
      </w:r>
      <w:r>
        <w:t xml:space="preserve"> </w:t>
      </w:r>
      <w:r>
        <w:t xml:space="preserve">Product</w:t>
      </w:r>
      <w:r>
        <w:t xml:space="preserve"> </w:t>
      </w:r>
      <w:r>
        <w:t xml:space="preserve">Line</w:t>
      </w:r>
    </w:p>
    <w:bookmarkStart w:id="29" w:name="X35f7b39d16a4d42cf4f034569e15c18d8f9c348"/>
    <w:p>
      <w:pPr>
        <w:pStyle w:val="Heading1"/>
      </w:pPr>
      <w:r>
        <w:t xml:space="preserve">Sales Report: Professor Product Line Performance in Japan Kyoto Market (Q3 2023)</w:t>
      </w:r>
    </w:p>
    <w:bookmarkStart w:id="20" w:name="executive-summary"/>
    <w:p>
      <w:pPr>
        <w:pStyle w:val="Heading2"/>
      </w:pPr>
      <w:r>
        <w:t xml:space="preserve">Executive Summary</w:t>
      </w:r>
    </w:p>
    <w:p>
      <w:pPr>
        <w:pStyle w:val="FirstParagraph"/>
      </w:pPr>
      <w:r>
        <w:t xml:space="preserve">This comprehensive Sales Report details the performance of the Professor premium educational technology suite across Japan Kyoto market during Q3 2023. The report confirms that our flagship "Professor" product line achieved remarkable growth, capturing 18.7% market share in Kyoto's higher education technology sector – a 42% year-over-year increase. This success marks a pivotal moment for our global expansion strategy, with Kyoto serving as the strategic cornerstone for Japan operations. The data underscores how Professor's culturally attuned solutions directly address Kyoto's unique educational ecosystem, driving exceptional customer acquisition and retention rates in this historically significant market.</w:t>
      </w:r>
    </w:p>
    <w:bookmarkEnd w:id="20"/>
    <w:bookmarkStart w:id="21" w:name="market-context-why-kyoto-matters"/>
    <w:p>
      <w:pPr>
        <w:pStyle w:val="Heading2"/>
      </w:pPr>
      <w:r>
        <w:t xml:space="preserve">Market Context: Why Kyoto Matters</w:t>
      </w:r>
    </w:p>
    <w:p>
      <w:pPr>
        <w:pStyle w:val="FirstParagraph"/>
      </w:pPr>
      <w:r>
        <w:t xml:space="preserve">Japan Kyoto represents far more than a regional market – it is the cultural and academic heartland of Japan. Home to 13 universities including prestigious institutions like Kyoto University (founded 1897) and Doshisha University, the city hosts over 65,000 higher education students annually. This concentration of academia creates an ideal ecosystem for Professor's AI-powered learning platform, which integrates seamlessly with Kyoto's traditional pedagogical values while introducing modern pedagogical innovation. Unlike Tokyo's corporate focus, Kyoto prioritizes scholarly excellence and cultural preservation – making it the perfect proving ground for Professor's mission to "elevate education through intelligent technology."</w:t>
      </w:r>
    </w:p>
    <w:bookmarkEnd w:id="21"/>
    <w:bookmarkStart w:id="22" w:name="X36c0327684d139cc8749f8ccb141b8a7454ad1b"/>
    <w:p>
      <w:pPr>
        <w:pStyle w:val="Heading2"/>
      </w:pPr>
      <w:r>
        <w:t xml:space="preserve">Key Performance Indicators: Q3 2023 in Kyoto</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(JPY)</w:t>
      </w:r>
    </w:p>
    <w:p>
      <w:pPr>
        <w:pStyle w:val="BodyText"/>
      </w:pPr>
      <w:r>
        <w:t xml:space="preserve">¥48,750,000</w:t>
      </w:r>
    </w:p>
    <w:p>
      <w:pPr>
        <w:pStyle w:val="BodyText"/>
      </w:pPr>
      <w:r>
        <w:t xml:space="preserve">¥34,192,000</w:t>
      </w:r>
    </w:p>
    <w:p>
      <w:pPr>
        <w:pStyle w:val="BodyText"/>
      </w:pPr>
      <w:r>
        <w:t xml:space="preserve">+42.6%</w:t>
      </w:r>
    </w:p>
    <w:p>
      <w:pPr>
        <w:pStyle w:val="BodyText"/>
      </w:pPr>
      <w:r>
        <w:t xml:space="preserve">New University Contracts</w:t>
      </w:r>
    </w:p>
    <w:p>
      <w:pPr>
        <w:pStyle w:val="BodyText"/>
      </w:pPr>
      <w:r>
        <w:t xml:space="preserve">8 institutions</w:t>
      </w:r>
    </w:p>
    <w:p>
      <w:pPr>
        <w:pStyle w:val="BodyText"/>
      </w:pPr>
      <w:r>
        <w:t xml:space="preserve">3 institutions</w:t>
      </w:r>
    </w:p>
    <w:p>
      <w:pPr>
        <w:pStyle w:val="BodyText"/>
      </w:pPr>
      <w:r>
        <w:t xml:space="preserve">+167%</w:t>
      </w:r>
    </w:p>
    <w:p>
      <w:pPr>
        <w:pStyle w:val="BodyText"/>
      </w:pPr>
      <w:r>
        <w:t xml:space="preserve">92.3%</w:t>
      </w:r>
    </w:p>
    <w:p>
      <w:pPr>
        <w:pStyle w:val="BodyText"/>
      </w:pPr>
      <w:r>
        <w:t xml:space="preserve">85.1%</w:t>
      </w:r>
    </w:p>
    <w:p>
      <w:pPr>
        <w:pStyle w:val="BodyText"/>
      </w:pPr>
      <w:r>
        <w:t xml:space="preserve">+7.2 pts</w:t>
      </w:r>
    </w:p>
    <w:p>
      <w:pPr>
        <w:pStyle w:val="BodyText"/>
      </w:pPr>
      <w:r>
        <w:t xml:space="preserve">Student Adoption Rate (per institution)</w:t>
      </w:r>
    </w:p>
    <w:p>
      <w:pPr>
        <w:pStyle w:val="BodyText"/>
      </w:pPr>
      <w:r>
        <w:t xml:space="preserve">68% of enrolled students</w:t>
      </w:r>
    </w:p>
    <w:p>
      <w:pPr>
        <w:pStyle w:val="BodyText"/>
      </w:pPr>
      <w:r>
        <w:t xml:space="preserve">49%</w:t>
      </w:r>
    </w:p>
    <w:p>
      <w:pPr>
        <w:pStyle w:val="BodyText"/>
      </w:pPr>
      <w:r>
        <w:br/>
      </w:r>
    </w:p>
    <w:p>
      <w:pPr>
        <w:pStyle w:val="BodyText"/>
      </w:pPr>
      <w:r>
        <w:t xml:space="preserve">+19 pts</w:t>
      </w:r>
    </w:p>
    <w:bookmarkEnd w:id="22"/>
    <w:bookmarkStart w:id="23" w:name="Xec43d2422ac4103b8e242c2592cbc47612d5db4"/>
    <w:p>
      <w:pPr>
        <w:pStyle w:val="Heading2"/>
      </w:pPr>
      <w:r>
        <w:t xml:space="preserve">Cultural Alignment: How Professor Resonated in Kyoto</w:t>
      </w:r>
    </w:p>
    <w:p>
      <w:pPr>
        <w:pStyle w:val="FirstParagraph"/>
      </w:pPr>
      <w:r>
        <w:t xml:space="preserve">The success of Professor in Japan Kyoto stems from meticulous cultural adaptation, not mere localization. Our Kyoto team developed the "Kyoto Learning Protocol" – a framework embedding local educational philosophies into the platform's core functionality. Key adaptations include:</w:t>
      </w:r>
    </w:p>
    <w:p>
      <w:pPr>
        <w:numPr>
          <w:ilvl w:val="0"/>
          <w:numId w:val="1001"/>
        </w:numPr>
        <w:pStyle w:val="Compact"/>
      </w:pPr>
      <w:r>
        <w:rPr>
          <w:bCs/>
          <w:b/>
        </w:rPr>
        <w:t xml:space="preserve">Shinobi (Stealth Learning):</w:t>
      </w:r>
      <w:r>
        <w:t xml:space="preserve"> </w:t>
      </w:r>
      <w:r>
        <w:t xml:space="preserve">Professor's AI tutor mode mirrors Kyoto's traditional "shinobi" teaching philosophy of subtle, context-aware guidance rather than direct instruction.</w:t>
      </w:r>
    </w:p>
    <w:p>
      <w:pPr>
        <w:numPr>
          <w:ilvl w:val="0"/>
          <w:numId w:val="1001"/>
        </w:numPr>
        <w:pStyle w:val="Compact"/>
      </w:pPr>
      <w:r>
        <w:rPr>
          <w:bCs/>
          <w:b/>
        </w:rPr>
        <w:t xml:space="preserve">Ceremony Integration:</w:t>
      </w:r>
      <w:r>
        <w:t xml:space="preserve"> </w:t>
      </w:r>
      <w:r>
        <w:t xml:space="preserve">The platform now recognizes Kyoto University's annual "Shōwa Day" academic ceremonies, automatically adjusting study schedules to honor cultural events without disrupting learning.</w:t>
      </w:r>
    </w:p>
    <w:p>
      <w:pPr>
        <w:numPr>
          <w:ilvl w:val="0"/>
          <w:numId w:val="1001"/>
        </w:numPr>
        <w:pStyle w:val="Compact"/>
      </w:pPr>
      <w:r>
        <w:rPr>
          <w:bCs/>
          <w:b/>
        </w:rPr>
        <w:t xml:space="preserve">Wabi-Sabi Aesthetics:</w:t>
      </w:r>
      <w:r>
        <w:t xml:space="preserve"> </w:t>
      </w:r>
      <w:r>
        <w:t xml:space="preserve">Interface design uses Kyoto-inspired minimalist visuals with indigo (ai) and rice paper textures, aligning with local aesthetic values rather than Western tech norms.</w:t>
      </w:r>
    </w:p>
    <w:p>
      <w:pPr>
        <w:pStyle w:val="FirstParagraph"/>
      </w:pPr>
      <w:r>
        <w:t xml:space="preserve">This cultural intelligence transformed Professor from a "tool" to a "trusted academic companion," directly addressing Kyoto educators' concerns about technology disrupting traditional learning values. As Dr. Kenji Tanaka of Kyoto University's Education Faculty noted in our Q3 survey: "Professor doesn't impose change – it enhances our centuries-old pedagogical wisdom through respectful innovation."</w:t>
      </w:r>
    </w:p>
    <w:bookmarkEnd w:id="23"/>
    <w:bookmarkStart w:id="24" w:name="strategic-partnerships-driving-growth"/>
    <w:p>
      <w:pPr>
        <w:pStyle w:val="Heading2"/>
      </w:pPr>
      <w:r>
        <w:t xml:space="preserve">Strategic Partnerships Driving Growth</w:t>
      </w:r>
    </w:p>
    <w:p>
      <w:pPr>
        <w:pStyle w:val="FirstParagraph"/>
      </w:pPr>
      <w:r>
        <w:t xml:space="preserve">Crucial to Professor's Kyoto success was forging partnerships with Kyoto-based academic institutions and cultural organizations:</w:t>
      </w:r>
    </w:p>
    <w:p>
      <w:pPr>
        <w:numPr>
          <w:ilvl w:val="0"/>
          <w:numId w:val="1002"/>
        </w:numPr>
        <w:pStyle w:val="Compact"/>
      </w:pPr>
      <w:r>
        <w:rPr>
          <w:bCs/>
          <w:b/>
        </w:rPr>
        <w:t xml:space="preserve">Kyoto International Learning Consortium (KILC):</w:t>
      </w:r>
      <w:r>
        <w:t xml:space="preserve"> </w:t>
      </w:r>
      <w:r>
        <w:t xml:space="preserve">Co-developed the "Professor for Zen Studies" module, now adopted by 70% of Buddhist studies departments across Kyoto.</w:t>
      </w:r>
    </w:p>
    <w:p>
      <w:pPr>
        <w:numPr>
          <w:ilvl w:val="0"/>
          <w:numId w:val="1002"/>
        </w:numPr>
        <w:pStyle w:val="Compact"/>
      </w:pPr>
      <w:r>
        <w:rPr>
          <w:bCs/>
          <w:b/>
        </w:rPr>
        <w:t xml:space="preserve">Kitano Temple Education Network:</w:t>
      </w:r>
      <w:r>
        <w:t xml:space="preserve"> </w:t>
      </w:r>
      <w:r>
        <w:t xml:space="preserve">Integrated historical archives into Professor's content library, creating unique digital humanities resources used in 15 Kyoto schools.</w:t>
      </w:r>
    </w:p>
    <w:p>
      <w:pPr>
        <w:numPr>
          <w:ilvl w:val="0"/>
          <w:numId w:val="1002"/>
        </w:numPr>
        <w:pStyle w:val="Compact"/>
      </w:pPr>
      <w:r>
        <w:rPr>
          <w:bCs/>
          <w:b/>
        </w:rPr>
        <w:t xml:space="preserve">Kyoto City Cultural Affairs Office:</w:t>
      </w:r>
      <w:r>
        <w:t xml:space="preserve"> </w:t>
      </w:r>
      <w:r>
        <w:t xml:space="preserve">Collaborated on "Digital Tea Ceremony" educational modules, achieving 230% above engagement targets among high school students.</w:t>
      </w:r>
    </w:p>
    <w:bookmarkEnd w:id="24"/>
    <w:bookmarkStart w:id="25" w:name="overcoming-market-challenges"/>
    <w:p>
      <w:pPr>
        <w:pStyle w:val="Heading2"/>
      </w:pPr>
      <w:r>
        <w:t xml:space="preserve">Overcoming Market Challenges</w:t>
      </w:r>
    </w:p>
    <w:p>
      <w:pPr>
        <w:pStyle w:val="FirstParagraph"/>
      </w:pPr>
      <w:r>
        <w:t xml:space="preserve">The Kyoto market presented unique hurdles that Professor's team successfully navigated:</w:t>
      </w:r>
    </w:p>
    <w:p>
      <w:pPr>
        <w:numPr>
          <w:ilvl w:val="0"/>
          <w:numId w:val="1003"/>
        </w:numPr>
        <w:pStyle w:val="Compact"/>
      </w:pPr>
      <w:r>
        <w:rPr>
          <w:bCs/>
          <w:b/>
        </w:rPr>
        <w:t xml:space="preserve">Cultural Hesitancy to Tech Adoption:</w:t>
      </w:r>
      <w:r>
        <w:t xml:space="preserve"> </w:t>
      </w:r>
      <w:r>
        <w:t xml:space="preserve">Addressed through "Professor Ambassador" program – training 150 Kyoto educators as internal champions who demonstrated platform value through classroom case studies.</w:t>
      </w:r>
    </w:p>
    <w:p>
      <w:pPr>
        <w:numPr>
          <w:ilvl w:val="0"/>
          <w:numId w:val="1003"/>
        </w:numPr>
        <w:pStyle w:val="Compact"/>
      </w:pPr>
      <w:r>
        <w:rPr>
          <w:bCs/>
          <w:b/>
        </w:rPr>
        <w:t xml:space="preserve">Language Nuance Requirements:</w:t>
      </w:r>
      <w:r>
        <w:t xml:space="preserve"> </w:t>
      </w:r>
      <w:r>
        <w:t xml:space="preserve">Implemented a Kyoto dialect analysis engine within Professor's AI, recognizing local speech patterns and academic terminology unique to Kansai region.</w:t>
      </w:r>
    </w:p>
    <w:p>
      <w:pPr>
        <w:numPr>
          <w:ilvl w:val="0"/>
          <w:numId w:val="1003"/>
        </w:numPr>
        <w:pStyle w:val="Compact"/>
      </w:pPr>
      <w:r>
        <w:rPr>
          <w:bCs/>
          <w:b/>
        </w:rPr>
        <w:t xml:space="preserve">Regulatory Compliance:</w:t>
      </w:r>
      <w:r>
        <w:t xml:space="preserve"> </w:t>
      </w:r>
      <w:r>
        <w:t xml:space="preserve">Partnered with Kyoto University's Legal Department to ensure full compliance with Japan's Personal Information Protection Act (PIPA) and Education Data Standards.</w:t>
      </w:r>
    </w:p>
    <w:bookmarkEnd w:id="25"/>
    <w:bookmarkStart w:id="26" w:name="customer-testimonials-kyoto-voices"/>
    <w:p>
      <w:pPr>
        <w:pStyle w:val="Heading2"/>
      </w:pPr>
      <w:r>
        <w:t xml:space="preserve">Customer Testimonials: Kyoto Voices</w:t>
      </w:r>
    </w:p>
    <w:p>
      <w:pPr>
        <w:pStyle w:val="BlockText"/>
      </w:pPr>
      <w:r>
        <w:t xml:space="preserve">"Before Professor, our students struggled with accessing rare historical texts. Now, the platform's integration with Kyoto's National Library archives has made scholarship accessible while preserving cultural context. It feels like we've finally found a technology that understands Kyoto's academic soul." – Dr. Aiko Sato, Head of Digital Humanities</w:t>
      </w:r>
    </w:p>
    <w:bookmarkEnd w:id="26"/>
    <w:bookmarkStart w:id="27" w:name="forward-looking-recommendations"/>
    <w:p>
      <w:pPr>
        <w:pStyle w:val="Heading2"/>
      </w:pPr>
      <w:r>
        <w:t xml:space="preserve">Forward-Looking Recommendations</w:t>
      </w:r>
    </w:p>
    <w:p>
      <w:pPr>
        <w:pStyle w:val="FirstParagraph"/>
      </w:pPr>
      <w:r>
        <w:t xml:space="preserve">Based on this successful Japan Kyoto performance, the following strategic actions are recommended for global expansion:</w:t>
      </w:r>
    </w:p>
    <w:p>
      <w:pPr>
        <w:numPr>
          <w:ilvl w:val="0"/>
          <w:numId w:val="1004"/>
        </w:numPr>
        <w:pStyle w:val="Compact"/>
      </w:pPr>
      <w:r>
        <w:rPr>
          <w:bCs/>
          <w:b/>
        </w:rPr>
        <w:t xml:space="preserve">Expand "Cultural Adaptation" Framework:</w:t>
      </w:r>
      <w:r>
        <w:t xml:space="preserve"> </w:t>
      </w:r>
      <w:r>
        <w:t xml:space="preserve">Establish Kyoto as the global template for market-specific product customization.</w:t>
      </w:r>
    </w:p>
    <w:p>
      <w:pPr>
        <w:numPr>
          <w:ilvl w:val="0"/>
          <w:numId w:val="1004"/>
        </w:numPr>
        <w:pStyle w:val="Compact"/>
      </w:pPr>
      <w:r>
        <w:rPr>
          <w:bCs/>
          <w:b/>
        </w:rPr>
        <w:t xml:space="preserve">Kyoto Innovation Hub:</w:t>
      </w:r>
      <w:r>
        <w:t xml:space="preserve"> </w:t>
      </w:r>
      <w:r>
        <w:t xml:space="preserve">Create a dedicated R&amp;D center in Kyoto focused on developing regionally tailored educational AI modules.</w:t>
      </w:r>
    </w:p>
    <w:p>
      <w:pPr>
        <w:numPr>
          <w:ilvl w:val="0"/>
          <w:numId w:val="1004"/>
        </w:numPr>
        <w:pStyle w:val="Compact"/>
      </w:pPr>
      <w:r>
        <w:rPr>
          <w:bCs/>
          <w:b/>
        </w:rPr>
        <w:t xml:space="preserve">Cultural Ambassador Program:</w:t>
      </w:r>
      <w:r>
        <w:t xml:space="preserve"> </w:t>
      </w:r>
      <w:r>
        <w:t xml:space="preserve">Scale the Kyoto educator training model to all Japan regions, with 30% of ambassadors coming from Kyoto institutions.</w:t>
      </w:r>
    </w:p>
    <w:bookmarkEnd w:id="27"/>
    <w:bookmarkStart w:id="28" w:name="Xdf629a0a94ec63fdf095d1ef7885d9d30111639"/>
    <w:p>
      <w:pPr>
        <w:pStyle w:val="Heading2"/>
      </w:pPr>
      <w:r>
        <w:t xml:space="preserve">Conclusion: The Professor Momentum in Japan Kyoto</w:t>
      </w:r>
    </w:p>
    <w:p>
      <w:pPr>
        <w:pStyle w:val="FirstParagraph"/>
      </w:pPr>
      <w:r>
        <w:t xml:space="preserve">This Sales Report unequivocally demonstrates that Professor has transcended being merely a product – it has become an integral part of Kyoto's educational fabric. The 42% YoY growth isn't just a number; it represents the successful fusion of cutting-edge technology with Kyoto's profound academic heritage. In Japan, where tradition and innovation coexist in delicate balance, Professor didn't force change – it honored cultural identity while elevating educational outcomes. As we prepare for Q4 expansion across Kansai region, Kyoto's success validates our core philosophy: True technological excellence must be rooted in the culture it serves.</w:t>
      </w:r>
    </w:p>
    <w:p>
      <w:pPr>
        <w:pStyle w:val="BodyText"/>
      </w:pPr>
      <w:r>
        <w:t xml:space="preserve">The Japan Kyoto market has proven that when technology respects tradition, it doesn't just sell – it transforms. Professor's journey in Kyoto is not an endpoint but a blueprint for global educational innovation. We stand at the threshold of a new era where technology and cultural wisdom co-create exceptional learning experiences – and we are grateful to have begun this journey in the heart of Japan: Kyoto.</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26, 2023</w:t>
      </w:r>
      <w:r>
        <w:br/>
      </w:r>
      <w:r>
        <w:rPr>
          <w:bCs/>
          <w:b/>
        </w:rPr>
        <w:t xml:space="preserve">Report Reference:</w:t>
      </w:r>
      <w:r>
        <w:t xml:space="preserve"> </w:t>
      </w:r>
      <w:r>
        <w:t xml:space="preserve">JAP-PROF-KYOTO-Q3-2023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Kyoto Sales Report - Professor Product Line</dc:title>
  <dc:creator/>
  <dc:language>en</dc:language>
  <cp:keywords/>
  <dcterms:created xsi:type="dcterms:W3CDTF">2026-07-23T15:22:04Z</dcterms:created>
  <dcterms:modified xsi:type="dcterms:W3CDTF">2026-07-23T15:22:04Z</dcterms:modified>
</cp:coreProperties>
</file>

<file path=docProps/custom.xml><?xml version="1.0" encoding="utf-8"?>
<Properties xmlns="http://schemas.openxmlformats.org/officeDocument/2006/custom-properties" xmlns:vt="http://schemas.openxmlformats.org/officeDocument/2006/docPropsVTypes"/>
</file>