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Kenya</w:t>
      </w:r>
      <w:r>
        <w:t xml:space="preserve"> </w:t>
      </w:r>
      <w:r>
        <w:t xml:space="preserve">Nairobi</w:t>
      </w:r>
      <w:r>
        <w:t xml:space="preserve"> </w:t>
      </w:r>
      <w:r>
        <w:t xml:space="preserve">Market</w:t>
      </w:r>
    </w:p>
    <w:bookmarkStart w:id="32" w:name="X0bdea313d880b0c011e38a42a4a0b9437385fc9"/>
    <w:p>
      <w:pPr>
        <w:pStyle w:val="Heading1"/>
      </w:pPr>
      <w:r>
        <w:t xml:space="preserve">Comprehensive Sales Performance Report: Professor Product Line in Kenya Nairobi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exceptional market penetration and revenue generation of the Professor educational technology suite within Nairobi, Kenya. The quarter has marked a pivotal milestone for our brand in East Africa, with Nairobi emerging as our most lucrative urban market in the region. As documented in this</w:t>
      </w:r>
      <w:r>
        <w:t xml:space="preserve"> </w:t>
      </w:r>
      <w:r>
        <w:rPr>
          <w:bCs/>
          <w:b/>
        </w:rPr>
        <w:t xml:space="preserve">Sales Report</w:t>
      </w:r>
      <w:r>
        <w:t xml:space="preserve">, Professor solutions have achieved 127% of Q3 sales targets across all major segments, reflecting unprecedented demand for our AI-powered learning platform specifically tailored for Kenyan educational institutions.</w:t>
      </w:r>
    </w:p>
    <w:bookmarkEnd w:id="20"/>
    <w:bookmarkStart w:id="21" w:name="Xd2e2c71fbd350e94e8ef25bdca8533f74e835c6"/>
    <w:p>
      <w:pPr>
        <w:pStyle w:val="Heading2"/>
      </w:pPr>
      <w:r>
        <w:t xml:space="preserve">Market Context: Why Nairobi is Critical for Professor</w:t>
      </w:r>
    </w:p>
    <w:p>
      <w:pPr>
        <w:pStyle w:val="FirstParagraph"/>
      </w:pPr>
      <w:r>
        <w:t xml:space="preserve">Nairobi serves as the undisputed economic and educational hub of Kenya, housing 43% of the country's universities and 68% of private schools. This concentration makes Nairobi our strategic priority in the</w:t>
      </w:r>
      <w:r>
        <w:t xml:space="preserve"> </w:t>
      </w:r>
      <w:r>
        <w:rPr>
          <w:bCs/>
          <w:b/>
        </w:rPr>
        <w:t xml:space="preserve">Kenya Nairobi</w:t>
      </w:r>
      <w:r>
        <w:t xml:space="preserve"> </w:t>
      </w:r>
      <w:r>
        <w:t xml:space="preserve">market. The Kenyan government's recent "Digital Learning Initiative" directly aligns with Professor's capabilities, creating a perfect storm for adoption. Our</w:t>
      </w:r>
      <w:r>
        <w:t xml:space="preserve"> </w:t>
      </w:r>
      <w:r>
        <w:rPr>
          <w:bCs/>
          <w:b/>
        </w:rPr>
        <w:t xml:space="preserve">Sales Report</w:t>
      </w:r>
      <w:r>
        <w:t xml:space="preserve"> </w:t>
      </w:r>
      <w:r>
        <w:t xml:space="preserve">confirms that 72% of all Professor licenses sold in Kenya were deployed within Nairobi metropolitan area during Q3, outpacing regional competitors by 3.2x.</w:t>
      </w:r>
    </w:p>
    <w:bookmarkEnd w:id="21"/>
    <w:bookmarkStart w:id="22" w:name="key-performance-indicators-q3-2023"/>
    <w:p>
      <w:pPr>
        <w:pStyle w:val="Heading2"/>
      </w:pPr>
      <w:r>
        <w:t xml:space="preserve">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Revenue (KES)</w:t>
      </w:r>
    </w:p>
    <w:p>
      <w:pPr>
        <w:pStyle w:val="BodyText"/>
      </w:pPr>
      <w:r>
        <w:t xml:space="preserve">28.5M</w:t>
      </w:r>
    </w:p>
    <w:p>
      <w:pPr>
        <w:pStyle w:val="BodyText"/>
      </w:pPr>
      <w:r>
        <w:t xml:space="preserve">36.3M</w:t>
      </w:r>
    </w:p>
    <w:p>
      <w:pPr>
        <w:pStyle w:val="BodyText"/>
      </w:pPr>
      <w:r>
        <w:t xml:space="preserve">+27.4%</w:t>
      </w:r>
    </w:p>
    <w:p>
      <w:pPr>
        <w:pStyle w:val="BodyText"/>
      </w:pPr>
      <w:r>
        <w:t xml:space="preserve">New Institutional Clients (Nairobi)</w:t>
      </w:r>
    </w:p>
    <w:p>
      <w:pPr>
        <w:pStyle w:val="BodyText"/>
      </w:pPr>
      <w:r>
        <w:t xml:space="preserve">19</w:t>
      </w:r>
    </w:p>
    <w:p>
      <w:pPr>
        <w:pStyle w:val="BodyText"/>
      </w:pPr>
      <w:r>
        <w:t xml:space="preserve">&lt;</w:t>
      </w:r>
    </w:p>
    <w:p>
      <w:pPr>
        <w:pStyle w:val="BodyText"/>
      </w:pPr>
      <w:r>
        <w:t xml:space="preserve">31</w:t>
      </w:r>
    </w:p>
    <w:p>
      <w:pPr>
        <w:pStyle w:val="BodyText"/>
      </w:pPr>
      <w:r>
        <w:t xml:space="preserve">+63.2%</w:t>
      </w:r>
    </w:p>
    <w:p>
      <w:pPr>
        <w:pStyle w:val="BodyText"/>
      </w:pPr>
      <w:r>
        <w:t xml:space="preserve">Student User Growth</w:t>
      </w:r>
    </w:p>
    <w:p>
      <w:pPr>
        <w:pStyle w:val="BodyText"/>
      </w:pPr>
      <w:r>
        <w:t xml:space="preserve">55,000</w:t>
      </w:r>
    </w:p>
    <w:p>
      <w:pPr>
        <w:pStyle w:val="BodyText"/>
      </w:pPr>
      <w:r>
        <w:t xml:space="preserve">88,742</w:t>
      </w:r>
    </w:p>
    <w:p>
      <w:pPr>
        <w:pStyle w:val="BodyText"/>
      </w:pPr>
      <w:r>
        <w:t xml:space="preserve">+61.3%</w:t>
      </w:r>
    </w:p>
    <w:p>
      <w:pPr>
        <w:pStyle w:val="BodyText"/>
      </w:pPr>
      <w:r>
        <w:t xml:space="preserve">MRR (Monthly Recurring Revenue)</w:t>
      </w:r>
    </w:p>
    <w:p>
      <w:pPr>
        <w:pStyle w:val="BodyText"/>
      </w:pPr>
      <w:r>
        <w:t xml:space="preserve">1.9M</w:t>
      </w:r>
    </w:p>
    <w:p>
      <w:pPr>
        <w:pStyle w:val="BodyText"/>
      </w:pPr>
      <w:r>
        <w:t xml:space="preserve">2.4M</w:t>
      </w:r>
    </w:p>
    <w:p>
      <w:pPr>
        <w:pStyle w:val="BodyText"/>
      </w:pPr>
      <w:r>
        <w:t xml:space="preserve">+26.3%</w:t>
      </w:r>
    </w:p>
    <w:bookmarkEnd w:id="22"/>
    <w:bookmarkStart w:id="26" w:name="Xd558c5d14270e185c71bdee08de1e53481535b7"/>
    <w:p>
      <w:pPr>
        <w:pStyle w:val="Heading2"/>
      </w:pPr>
      <w:r>
        <w:t xml:space="preserve">Nairobi-Specific Sales Breakdown: Professor's Dominance</w:t>
      </w:r>
    </w:p>
    <w:p>
      <w:pPr>
        <w:pStyle w:val="FirstParagraph"/>
      </w:pPr>
      <w:r>
        <w:t xml:space="preserve">The data reveals Nairobi's unique adoption patterns that make it our flagship city in</w:t>
      </w:r>
      <w:r>
        <w:t xml:space="preserve"> </w:t>
      </w:r>
      <w:r>
        <w:rPr>
          <w:bCs/>
          <w:b/>
        </w:rPr>
        <w:t xml:space="preserve">Kenya Nairobi</w:t>
      </w:r>
      <w:r>
        <w:t xml:space="preserve">. The high-demand segments include:</w:t>
      </w:r>
    </w:p>
    <w:bookmarkStart w:id="23" w:name="private-secondary-schools-48-of-revenue"/>
    <w:p>
      <w:pPr>
        <w:pStyle w:val="Heading3"/>
      </w:pPr>
      <w:r>
        <w:t xml:space="preserve">1. Private Secondary Schools (48% of Revenue)</w:t>
      </w:r>
    </w:p>
    <w:p>
      <w:pPr>
        <w:pStyle w:val="FirstParagraph"/>
      </w:pPr>
      <w:r>
        <w:t xml:space="preserve">Top 10 schools like Strathmore High and Karen School implemented Professor's curriculum management module. Our sales team achieved a 92% conversion rate in Nairobi private school negotiations, directly attributable to our localized content for Kenya's CBC curriculum. This segment generated KES 17.4M in Q3.</w:t>
      </w:r>
    </w:p>
    <w:bookmarkEnd w:id="23"/>
    <w:bookmarkStart w:id="24" w:name="university-partnerships-35-of-revenue"/>
    <w:p>
      <w:pPr>
        <w:pStyle w:val="Heading3"/>
      </w:pPr>
      <w:r>
        <w:t xml:space="preserve">2. University Partnerships (35% of Revenue)</w:t>
      </w:r>
    </w:p>
    <w:p>
      <w:pPr>
        <w:pStyle w:val="FirstParagraph"/>
      </w:pPr>
      <w:r>
        <w:t xml:space="preserve">University of Nairobi and Kenyatta University signed multi-year contracts for Professor's research analytics suite. The integration with Kenya's National Qualifications Framework (KNQF) was a key differentiator, securing KES 12.7M in sales – a 185% increase from Q2.</w:t>
      </w:r>
    </w:p>
    <w:bookmarkEnd w:id="24"/>
    <w:bookmarkStart w:id="25" w:name="Xfb679b77b57af63954019644e33d5457a377e34"/>
    <w:p>
      <w:pPr>
        <w:pStyle w:val="Heading3"/>
      </w:pPr>
      <w:r>
        <w:t xml:space="preserve">3. Government Education Initiatives (17% of Revenue)</w:t>
      </w:r>
    </w:p>
    <w:p>
      <w:pPr>
        <w:pStyle w:val="FirstParagraph"/>
      </w:pPr>
      <w:r>
        <w:t xml:space="preserve">Our partnership with Nairobi County Government for the "Digital Classrooms Project" yielded KES 6.2M. This contract, managed through our Nairobi office, represents the largest government procurement of educational technology in Kenya this year.</w:t>
      </w:r>
    </w:p>
    <w:bookmarkEnd w:id="25"/>
    <w:bookmarkEnd w:id="26"/>
    <w:bookmarkStart w:id="27" w:name="X64d9721a5743d697d4568b1c7badbf156b0887c"/>
    <w:p>
      <w:pPr>
        <w:pStyle w:val="Heading2"/>
      </w:pPr>
      <w:r>
        <w:t xml:space="preserve">Strategic Initiatives Driving Professor's Success in Nairobi</w:t>
      </w:r>
    </w:p>
    <w:p>
      <w:pPr>
        <w:pStyle w:val="FirstParagraph"/>
      </w:pPr>
      <w:r>
        <w:t xml:space="preserve">Three targeted initiatives fueled our Q3 performance:</w:t>
      </w:r>
    </w:p>
    <w:p>
      <w:pPr>
        <w:numPr>
          <w:ilvl w:val="0"/>
          <w:numId w:val="1001"/>
        </w:numPr>
        <w:pStyle w:val="Compact"/>
      </w:pPr>
      <w:r>
        <w:rPr>
          <w:bCs/>
          <w:b/>
        </w:rPr>
        <w:t xml:space="preserve">Nairobi Educator Training Program:</w:t>
      </w:r>
      <w:r>
        <w:t xml:space="preserve"> </w:t>
      </w:r>
      <w:r>
        <w:t xml:space="preserve">147 workshops conducted across the city, training 3,800 teachers on Professor platform. This directly contributed to a 62% increase in teacher-led student adoption.</w:t>
      </w:r>
    </w:p>
    <w:p>
      <w:pPr>
        <w:numPr>
          <w:ilvl w:val="0"/>
          <w:numId w:val="1001"/>
        </w:numPr>
        <w:pStyle w:val="Compact"/>
      </w:pPr>
      <w:r>
        <w:rPr>
          <w:bCs/>
          <w:b/>
        </w:rPr>
        <w:t xml:space="preserve">Local Content Localization:</w:t>
      </w:r>
      <w:r>
        <w:t xml:space="preserve"> </w:t>
      </w:r>
      <w:r>
        <w:t xml:space="preserve">Customized Professor modules for Kenyan history (e.g., "Mau Mau Uprising" interactive case studies) and Kiswahili language support, developed with Nairobi-based curriculum experts.</w:t>
      </w:r>
    </w:p>
    <w:p>
      <w:pPr>
        <w:numPr>
          <w:ilvl w:val="0"/>
          <w:numId w:val="1001"/>
        </w:numPr>
        <w:pStyle w:val="Compact"/>
      </w:pPr>
      <w:r>
        <w:rPr>
          <w:bCs/>
          <w:b/>
        </w:rPr>
        <w:t xml:space="preserve">Nairobi Community Engagement:</w:t>
      </w:r>
      <w:r>
        <w:t xml:space="preserve"> </w:t>
      </w:r>
      <w:r>
        <w:t xml:space="preserve">Sponsorship of the Kenya International Education Summit at Kilimani Sports Complex, generating 217 qualified leads and securing 45 new institutional contracts.</w:t>
      </w:r>
    </w:p>
    <w:bookmarkEnd w:id="27"/>
    <w:bookmarkStart w:id="28" w:name="challenges-mitigation-strategies"/>
    <w:p>
      <w:pPr>
        <w:pStyle w:val="Heading2"/>
      </w:pPr>
      <w:r>
        <w:t xml:space="preserve">Challenges &amp; Mitigation Strategies</w:t>
      </w:r>
    </w:p>
    <w:p>
      <w:pPr>
        <w:pStyle w:val="FirstParagraph"/>
      </w:pPr>
      <w:r>
        <w:t xml:space="preserve">The Nairobi market presented specific hurdles that our team navigated successfully:</w:t>
      </w:r>
    </w:p>
    <w:p>
      <w:pPr>
        <w:numPr>
          <w:ilvl w:val="0"/>
          <w:numId w:val="1002"/>
        </w:numPr>
        <w:pStyle w:val="Compact"/>
      </w:pPr>
      <w:r>
        <w:rPr>
          <w:bCs/>
          <w:b/>
        </w:rPr>
        <w:t xml:space="preserve">Infrastructure Limitations:</w:t>
      </w:r>
      <w:r>
        <w:t xml:space="preserve"> </w:t>
      </w:r>
      <w:r>
        <w:t xml:space="preserve">Rural schools within the Nairobi metropolitan area faced inconsistent internet. Solution: Deployed offline Professor Lite modules with USB-based updates, increasing adoption by 28% in low-connectivity zones.</w:t>
      </w:r>
    </w:p>
    <w:p>
      <w:pPr>
        <w:numPr>
          <w:ilvl w:val="0"/>
          <w:numId w:val="1002"/>
        </w:numPr>
        <w:pStyle w:val="Compact"/>
      </w:pPr>
      <w:r>
        <w:rPr>
          <w:bCs/>
          <w:b/>
        </w:rPr>
        <w:t xml:space="preserve">Cultural Adaptation:</w:t>
      </w:r>
      <w:r>
        <w:t xml:space="preserve"> </w:t>
      </w:r>
      <w:r>
        <w:t xml:space="preserve">Initial resistance to AI-driven teaching tools. Solution: Partnered with renowned Nairobi educators like Prof. Jane Mwangi for testimonial campaigns, boosting trust by 41%.</w:t>
      </w:r>
    </w:p>
    <w:p>
      <w:pPr>
        <w:numPr>
          <w:ilvl w:val="0"/>
          <w:numId w:val="1002"/>
        </w:numPr>
        <w:pStyle w:val="Compact"/>
      </w:pPr>
      <w:r>
        <w:rPr>
          <w:bCs/>
          <w:b/>
        </w:rPr>
        <w:t xml:space="preserve">Competition Pressure:</w:t>
      </w:r>
      <w:r>
        <w:t xml:space="preserve"> </w:t>
      </w:r>
      <w:r>
        <w:t xml:space="preserve">Local edtech firms undercutting pricing. Solution: Launched "Professor for Nairobi Schools" tiered pricing (50% cost reduction for public schools), securing 12 new government contracts.</w:t>
      </w:r>
    </w:p>
    <w:bookmarkEnd w:id="28"/>
    <w:bookmarkStart w:id="29" w:name="financial-impact-future-outlook"/>
    <w:p>
      <w:pPr>
        <w:pStyle w:val="Heading2"/>
      </w:pPr>
      <w:r>
        <w:t xml:space="preserve">Financial Impact &amp; Future Outlook</w:t>
      </w:r>
    </w:p>
    <w:p>
      <w:pPr>
        <w:pStyle w:val="FirstParagraph"/>
      </w:pPr>
      <w:r>
        <w:t xml:space="preserve">This</w:t>
      </w:r>
      <w:r>
        <w:t xml:space="preserve"> </w:t>
      </w:r>
      <w:r>
        <w:rPr>
          <w:bCs/>
          <w:b/>
        </w:rPr>
        <w:t xml:space="preserve">Sales Report</w:t>
      </w:r>
      <w:r>
        <w:t xml:space="preserve"> </w:t>
      </w:r>
      <w:r>
        <w:t xml:space="preserve">confirms that the Professor product line now generates 47% of all our Africa revenue, with Nairobi alone contributing KES 36.3M in Q3 – a 79% year-on-year increase. The Nairobi office has transitioned from operational to profit center status, achieving 18% gross margins versus the regional average of 12%. Our forecast for Q4 predicts further growth as Professor integrates with Kenya's new national education database (KNEC Digital).</w:t>
      </w:r>
    </w:p>
    <w:bookmarkEnd w:id="29"/>
    <w:bookmarkStart w:id="30" w:name="Xfc1ba3ed3f8dfea8689605074b7dbe9969466fb"/>
    <w:p>
      <w:pPr>
        <w:pStyle w:val="Heading2"/>
      </w:pPr>
      <w:r>
        <w:t xml:space="preserve">Recommendations for Sustained Growth in Kenya Nairobi</w:t>
      </w:r>
    </w:p>
    <w:p>
      <w:pPr>
        <w:numPr>
          <w:ilvl w:val="0"/>
          <w:numId w:val="1003"/>
        </w:numPr>
        <w:pStyle w:val="Compact"/>
      </w:pPr>
      <w:r>
        <w:t xml:space="preserve">Expand Nairobi-based R&amp;D team by 30% to accelerate local content development for Kenyan syllabi.</w:t>
      </w:r>
    </w:p>
    <w:p>
      <w:pPr>
        <w:numPr>
          <w:ilvl w:val="0"/>
          <w:numId w:val="1003"/>
        </w:numPr>
        <w:pStyle w:val="Compact"/>
      </w:pPr>
      <w:r>
        <w:t xml:space="preserve">Establish Professor Nairobi Innovation Hub at the KICC (Kenya International Convention Centre) for quarterly educator summits.</w:t>
      </w:r>
    </w:p>
    <w:p>
      <w:pPr>
        <w:numPr>
          <w:ilvl w:val="0"/>
          <w:numId w:val="1003"/>
        </w:numPr>
        <w:pStyle w:val="Compact"/>
      </w:pPr>
      <w:r>
        <w:t xml:space="preserve">Prioritize partnerships with M-Pesa and Safaricom to embed Professor into mobile learning ecosystems, leveraging Kenya's 92% mobile penetration rate.</w:t>
      </w:r>
    </w:p>
    <w:bookmarkEnd w:id="30"/>
    <w:bookmarkStart w:id="31" w:name="conclusion"/>
    <w:p>
      <w:pPr>
        <w:pStyle w:val="Heading2"/>
      </w:pPr>
      <w:r>
        <w:t xml:space="preserve">Conclusion</w:t>
      </w:r>
    </w:p>
    <w:p>
      <w:pPr>
        <w:pStyle w:val="FirstParagraph"/>
      </w:pPr>
      <w:r>
        <w:t xml:space="preserve">The Q3 performance proves that Nairobi is not merely a market but the strategic heart of our African expansion. This comprehensive Sales Report underscores how Professor has become synonymous with educational innovation in</w:t>
      </w:r>
      <w:r>
        <w:t xml:space="preserve"> </w:t>
      </w:r>
      <w:r>
        <w:rPr>
          <w:bCs/>
          <w:b/>
        </w:rPr>
        <w:t xml:space="preserve">Kenya Nairobi</w:t>
      </w:r>
      <w:r>
        <w:t xml:space="preserve">, transforming from a promising product to an indispensable tool for educators across the city. Our success stems from deep community engagement, cultural intelligence, and unwavering focus on Nairobi's unique educational challenges. As we look ahead, the</w:t>
      </w:r>
      <w:r>
        <w:t xml:space="preserve"> </w:t>
      </w:r>
      <w:r>
        <w:rPr>
          <w:bCs/>
          <w:b/>
        </w:rPr>
        <w:t xml:space="preserve">Professor</w:t>
      </w:r>
      <w:r>
        <w:t xml:space="preserve"> </w:t>
      </w:r>
      <w:r>
        <w:t xml:space="preserve">brand stands positioned to capture 35% of Kenya's educational technology market by 2025 – with Nairobi as its undeniable engine of growth.</w:t>
      </w:r>
    </w:p>
    <w:p>
      <w:pPr>
        <w:pStyle w:val="BodyText"/>
      </w:pPr>
      <w:r>
        <w:rPr>
          <w:iCs/>
          <w:i/>
        </w:rPr>
        <w:t xml:space="preserve">This Sales Report was compiled for internal executive review and Kenya operations team on October 15, 2023. All figures validated by Nairobi Finance Department and Sales Analytics Unit.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Product Line - Kenya Nairobi Market</dc:title>
  <dc:creator/>
  <dc:language>en</dc:language>
  <cp:keywords/>
  <dcterms:created xsi:type="dcterms:W3CDTF">2026-07-21T05:01:48Z</dcterms:created>
  <dcterms:modified xsi:type="dcterms:W3CDTF">2026-07-21T05:01:48Z</dcterms:modified>
</cp:coreProperties>
</file>

<file path=docProps/custom.xml><?xml version="1.0" encoding="utf-8"?>
<Properties xmlns="http://schemas.openxmlformats.org/officeDocument/2006/custom-properties" xmlns:vt="http://schemas.openxmlformats.org/officeDocument/2006/docPropsVTypes"/>
</file>