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Performance</w:t>
      </w:r>
    </w:p>
    <w:bookmarkStart w:id="28" w:name="Xb113e9386ac39bb42f5e92273d9a9a6fae8a192"/>
    <w:p>
      <w:pPr>
        <w:pStyle w:val="Heading1"/>
      </w:pPr>
      <w:r>
        <w:t xml:space="preserve">Sales Report for Professor in Kuwait City Market</w:t>
      </w:r>
    </w:p>
    <w:p>
      <w:pPr>
        <w:pStyle w:val="FirstParagraph"/>
      </w:pPr>
      <w:r>
        <w:t xml:space="preserve">Quarterly Performance Analysis | Q3 2023 | Prepared for Global Leadership Team</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bCs/>
          <w:b/>
        </w:rPr>
        <w:t xml:space="preserve">Professor</w:t>
      </w:r>
      <w:r>
        <w:t xml:space="preserve">, our premium educational technology platform, across</w:t>
      </w:r>
      <w:r>
        <w:t xml:space="preserve"> </w:t>
      </w:r>
      <w:r>
        <w:rPr>
          <w:iCs/>
          <w:i/>
        </w:rPr>
        <w:t xml:space="preserve">Kuwait City</w:t>
      </w:r>
      <w:r>
        <w:t xml:space="preserve"> </w:t>
      </w:r>
      <w:r>
        <w:t xml:space="preserve">and surrounding metropolitan areas during Q3 2023. The report confirms that Professor has established significant market traction in</w:t>
      </w:r>
      <w:r>
        <w:t xml:space="preserve"> </w:t>
      </w:r>
      <w:r>
        <w:rPr>
          <w:iCs/>
          <w:i/>
        </w:rPr>
        <w:t xml:space="preserve">Kuwait Kuwait City</w:t>
      </w:r>
      <w:r>
        <w:t xml:space="preserve">, achieving a remarkable 147% year-over-year growth in subscription revenue while capturing 28% market share among premium educational SaaS solutions. This success positions Professor as the fastest-growing edtech solution in Kuwait's competitive academic technology landscape.</w:t>
      </w:r>
    </w:p>
    <w:bookmarkEnd w:id="20"/>
    <w:bookmarkStart w:id="21" w:name="market-context-in-kuwait-city"/>
    <w:p>
      <w:pPr>
        <w:pStyle w:val="Heading2"/>
      </w:pPr>
      <w:r>
        <w:t xml:space="preserve">Market Context in Kuwait City</w:t>
      </w:r>
    </w:p>
    <w:p>
      <w:pPr>
        <w:pStyle w:val="FirstParagraph"/>
      </w:pPr>
      <w:r>
        <w:rPr>
          <w:iCs/>
          <w:i/>
        </w:rPr>
        <w:t xml:space="preserve">Kuwait City</w:t>
      </w:r>
      <w:r>
        <w:t xml:space="preserve"> </w:t>
      </w:r>
      <w:r>
        <w:t xml:space="preserve">represents a strategically vital market for global edtech providers, characterized by high government investment in digital education initiatives and rapidly growing demand for personalized learning solutions. The Kuwait Ministry of Education's "Digital Transformation 2030" program has created unprecedented opportunities for innovative platforms like Professor. With over 15,000 students across 47 schools and universities adopting Professor during Q3 alone, the platform has become synonymous with cutting-edge educational technology in</w:t>
      </w:r>
      <w:r>
        <w:t xml:space="preserve"> </w:t>
      </w:r>
      <w:r>
        <w:rPr>
          <w:iCs/>
          <w:i/>
        </w:rPr>
        <w:t xml:space="preserve">Kuwait Kuwait City</w:t>
      </w:r>
      <w:r>
        <w:t xml:space="preserve"> </w:t>
      </w:r>
      <w:r>
        <w:t xml:space="preserve">business circles.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Market Share (Kuwait City)</w:t>
            </w:r>
          </w:p>
        </w:tc>
      </w:tr>
      <w:tr>
        <w:tc>
          <w:tcPr/>
          <w:p>
            <w:pPr>
              <w:pStyle w:val="Compact"/>
              <w:jc w:val="left"/>
            </w:pPr>
            <w:r>
              <w:t xml:space="preserve">Total Subscriptions</w:t>
            </w:r>
          </w:p>
        </w:tc>
        <w:tc>
          <w:tcPr/>
          <w:p>
            <w:pPr>
              <w:pStyle w:val="Compact"/>
              <w:jc w:val="left"/>
            </w:pPr>
            <w:r>
              <w:t xml:space="preserve">4,287</w:t>
            </w:r>
          </w:p>
        </w:tc>
        <w:tc>
          <w:tcPr/>
          <w:p>
            <w:pPr>
              <w:pStyle w:val="Compact"/>
              <w:jc w:val="left"/>
            </w:pPr>
            <w:r>
              <w:t xml:space="preserve">+147%</w:t>
            </w:r>
          </w:p>
        </w:tc>
        <w:tc>
          <w:tcPr/>
          <w:p>
            <w:pPr>
              <w:pStyle w:val="Compact"/>
              <w:jc w:val="left"/>
            </w:pPr>
            <w:r>
              <w:t xml:space="preserve">28%</w:t>
            </w:r>
          </w:p>
        </w:tc>
      </w:tr>
      <w:tr>
        <w:tc>
          <w:tcPr/>
          <w:p>
            <w:pPr>
              <w:pStyle w:val="Compact"/>
              <w:jc w:val="left"/>
            </w:pPr>
            <w:r>
              <w:t xml:space="preserve">Revenue Generated</w:t>
            </w:r>
          </w:p>
        </w:tc>
        <w:tc>
          <w:tcPr/>
          <w:p>
            <w:pPr>
              <w:pStyle w:val="Compact"/>
              <w:jc w:val="left"/>
            </w:pPr>
            <w:r>
              <w:t xml:space="preserve">KWD 1.95M</w:t>
            </w:r>
          </w:p>
        </w:tc>
        <w:tc>
          <w:tcPr/>
          <w:p>
            <w:pPr>
              <w:pStyle w:val="Compact"/>
              <w:jc w:val="left"/>
            </w:pPr>
            <w:r>
              <w:t xml:space="preserve">+152%</w:t>
            </w:r>
          </w:p>
        </w:tc>
        <w:tc>
          <w:tcPr/>
          <w:p>
            <w:pPr>
              <w:pStyle w:val="Compact"/>
              <w:jc w:val="left"/>
            </w:pPr>
            <w:r>
              <w:t xml:space="preserve">N/A</w:t>
            </w:r>
          </w:p>
        </w:tc>
      </w:tr>
      <w:tr>
        <w:tc>
          <w:tcPr/>
          <w:p>
            <w:pPr>
              <w:pStyle w:val="Compact"/>
              <w:jc w:val="left"/>
            </w:pPr>
            <w:r>
              <w:t xml:space="preserve">New School Acquisitions</w:t>
            </w:r>
          </w:p>
        </w:tc>
        <w:tc>
          <w:tcPr/>
          <w:p>
            <w:pPr>
              <w:pStyle w:val="Compact"/>
              <w:jc w:val="left"/>
            </w:pPr>
            <w:r>
              <w:t xml:space="preserve">32 Institutions</w:t>
            </w:r>
          </w:p>
        </w:tc>
        <w:tc>
          <w:tcPr/>
          <w:p>
            <w:pPr>
              <w:pStyle w:val="Compact"/>
              <w:jc w:val="left"/>
            </w:pPr>
            <w:r>
              <w:t xml:space="preserve">+189%</w:t>
            </w:r>
          </w:p>
        </w:tc>
        <w:tc>
          <w:tcPr/>
          <w:p>
            <w:pPr>
              <w:pStyle w:val="Compact"/>
              <w:jc w:val="left"/>
            </w:pPr>
            <w:r>
              <w:t xml:space="preserve">41% of total market growth</w:t>
            </w:r>
          </w:p>
        </w:tc>
      </w:tr>
      <w:tr>
        <w:tc>
          <w:tcPr/>
          <w:p>
            <w:pPr>
              <w:pStyle w:val="Compact"/>
              <w:jc w:val="left"/>
            </w:pPr>
            <w:r>
              <w:t xml:space="preserve">Customer Retention Rate</w:t>
            </w:r>
          </w:p>
        </w:tc>
        <w:tc>
          <w:tcPr/>
          <w:p>
            <w:pPr>
              <w:pStyle w:val="Compact"/>
              <w:jc w:val="left"/>
            </w:pPr>
            <w:r>
              <w:t xml:space="preserve">93.7%</w:t>
            </w:r>
          </w:p>
        </w:tc>
        <w:tc>
          <w:tcPr/>
          <w:p>
            <w:pPr>
              <w:pStyle w:val="Compact"/>
              <w:jc w:val="left"/>
            </w:pPr>
            <w:r>
              <w:t xml:space="preserve">+12.3 pts</w:t>
            </w:r>
          </w:p>
        </w:tc>
        <w:tc>
          <w:tcPr/>
          <w:p>
            <w:pPr>
              <w:pStyle w:val="Compact"/>
              <w:jc w:val="left"/>
            </w:pPr>
            <w:r>
              <w:t xml:space="preserve">Leading industry benchmark</w:t>
            </w:r>
          </w:p>
        </w:tc>
      </w:tr>
    </w:tbl>
    <w:bookmarkEnd w:id="22"/>
    <w:bookmarkStart w:id="23" w:name="kuwait-city-market-expansion-strategy"/>
    <w:p>
      <w:pPr>
        <w:pStyle w:val="Heading2"/>
      </w:pPr>
      <w:r>
        <w:t xml:space="preserve">Kuwait City Market Expansion Strategy</w:t>
      </w:r>
    </w:p>
    <w:p>
      <w:pPr>
        <w:pStyle w:val="FirstParagraph"/>
      </w:pPr>
      <w:r>
        <w:t xml:space="preserve">Our strategic deployment of the Professor platform in</w:t>
      </w:r>
      <w:r>
        <w:t xml:space="preserve"> </w:t>
      </w:r>
      <w:r>
        <w:rPr>
          <w:iCs/>
          <w:i/>
        </w:rPr>
        <w:t xml:space="preserve">Kuwait Kuwait City</w:t>
      </w:r>
      <w:r>
        <w:t xml:space="preserve"> </w:t>
      </w:r>
      <w:r>
        <w:t xml:space="preserve">has focused on three critical pillars:</w:t>
      </w:r>
    </w:p>
    <w:p>
      <w:pPr>
        <w:numPr>
          <w:ilvl w:val="0"/>
          <w:numId w:val="1001"/>
        </w:numPr>
        <w:pStyle w:val="Compact"/>
      </w:pPr>
      <w:r>
        <w:rPr>
          <w:bCs/>
          <w:b/>
        </w:rPr>
        <w:t xml:space="preserve">Cultural Alignment:</w:t>
      </w:r>
      <w:r>
        <w:t xml:space="preserve"> </w:t>
      </w:r>
      <w:r>
        <w:t xml:space="preserve">Professor's Arabic-first interface and culturally relevant pedagogical content were specifically developed for Kuwaiti learners, addressing a critical gap in existing international edtech solutions. This localization effort directly contributed to 78% of new sign-ups from schools previously using foreign platforms.</w:t>
      </w:r>
    </w:p>
    <w:p>
      <w:pPr>
        <w:numPr>
          <w:ilvl w:val="0"/>
          <w:numId w:val="1001"/>
        </w:numPr>
        <w:pStyle w:val="Compact"/>
      </w:pPr>
      <w:r>
        <w:rPr>
          <w:bCs/>
          <w:b/>
        </w:rPr>
        <w:t xml:space="preserve">Government Partnership Program:</w:t>
      </w:r>
      <w:r>
        <w:t xml:space="preserve"> </w:t>
      </w:r>
      <w:r>
        <w:t xml:space="preserve">We secured a landmark agreement with the Ministry of Education's Digital Learning Division, enabling Professor to become the official platform for Kuwait's "Smart Curriculum Initiative" across all public secondary schools in</w:t>
      </w:r>
      <w:r>
        <w:t xml:space="preserve"> </w:t>
      </w:r>
      <w:r>
        <w:rPr>
          <w:iCs/>
          <w:i/>
        </w:rPr>
        <w:t xml:space="preserve">Kuwait City</w:t>
      </w:r>
      <w:r>
        <w:t xml:space="preserve">.</w:t>
      </w:r>
    </w:p>
    <w:p>
      <w:pPr>
        <w:numPr>
          <w:ilvl w:val="0"/>
          <w:numId w:val="1001"/>
        </w:numPr>
        <w:pStyle w:val="Compact"/>
      </w:pPr>
      <w:r>
        <w:rPr>
          <w:bCs/>
          <w:b/>
        </w:rPr>
        <w:t xml:space="preserve">Local Talent Development:</w:t>
      </w:r>
      <w:r>
        <w:t xml:space="preserve"> </w:t>
      </w:r>
      <w:r>
        <w:t xml:space="preserve">Establishment of our first regional headquarters in Kuwait City with 22 local employees, including 8 Kuwaiti educators certified in Professor's methodology. This localized support model has been instrumental in achieving our exceptional retention rate.</w:t>
      </w:r>
    </w:p>
    <w:bookmarkEnd w:id="23"/>
    <w:bookmarkStart w:id="24" w:name="customer-testimonials-from-kuwait-city"/>
    <w:p>
      <w:pPr>
        <w:pStyle w:val="Heading2"/>
      </w:pPr>
      <w:r>
        <w:t xml:space="preserve">Customer Testimonials from Kuwait City</w:t>
      </w:r>
    </w:p>
    <w:p>
      <w:pPr>
        <w:pStyle w:val="BlockText"/>
      </w:pPr>
      <w:r>
        <w:t xml:space="preserve">"Professor has transformed how we deliver STEM education in our Kuwait City schools. The platform's Arabic math modules specifically designed for our curriculum have increased student engagement by 67%. This isn't just a tool - it's become an essential part of our educational ecosystem."</w:t>
      </w:r>
    </w:p>
    <w:p>
      <w:pPr>
        <w:pStyle w:val="BlockText"/>
      </w:pPr>
      <w:r>
        <w:t xml:space="preserve">- Dr. Ahmed Al-Sayer, Director of Educational Technology, Kuwait City Municipal Schools</w:t>
      </w:r>
    </w:p>
    <w:p>
      <w:pPr>
        <w:pStyle w:val="BlockText"/>
      </w:pPr>
      <w:r>
        <w:t xml:space="preserve">"The Professor implementation team understood our cultural context immediately. They didn't just translate content - they redesigned pedagogy for Kuwaiti students. In just six months, we've seen a 41% reduction in student dropout rates in participating classes."</w:t>
      </w:r>
    </w:p>
    <w:p>
      <w:pPr>
        <w:pStyle w:val="BlockText"/>
      </w:pPr>
      <w:r>
        <w:t xml:space="preserve">- Ms. Fatima Al-Sulaiman, Head of Innovation, Gulf University (Kuwait City)</w:t>
      </w:r>
    </w:p>
    <w:bookmarkEnd w:id="24"/>
    <w:bookmarkStart w:id="25" w:name="Xac96025f9648b4db68581387bf94c1ff4d4c228"/>
    <w:p>
      <w:pPr>
        <w:pStyle w:val="Heading2"/>
      </w:pPr>
      <w:r>
        <w:t xml:space="preserve">Challenges Overcome in Kuwait City Market</w:t>
      </w:r>
    </w:p>
    <w:p>
      <w:pPr>
        <w:pStyle w:val="FirstParagraph"/>
      </w:pPr>
      <w:r>
        <w:t xml:space="preserve">Entering the highly regulated education sector of</w:t>
      </w:r>
      <w:r>
        <w:t xml:space="preserve"> </w:t>
      </w:r>
      <w:r>
        <w:rPr>
          <w:iCs/>
          <w:i/>
        </w:rPr>
        <w:t xml:space="preserve">Kuwait Kuwait City</w:t>
      </w:r>
      <w:r>
        <w:t xml:space="preserve"> </w:t>
      </w:r>
      <w:r>
        <w:t xml:space="preserve">presented significant challenges that we successfully navigated:</w:t>
      </w:r>
    </w:p>
    <w:p>
      <w:pPr>
        <w:numPr>
          <w:ilvl w:val="0"/>
          <w:numId w:val="1002"/>
        </w:numPr>
        <w:pStyle w:val="Compact"/>
      </w:pPr>
      <w:r>
        <w:rPr>
          <w:bCs/>
          <w:b/>
        </w:rPr>
        <w:t xml:space="preserve">Regulatory Compliance:</w:t>
      </w:r>
      <w:r>
        <w:t xml:space="preserve"> </w:t>
      </w:r>
      <w:r>
        <w:t xml:space="preserve">Successfully obtained all required approvals from the Ministry of Education within 45 days through our dedicated local compliance team in Kuwait City, significantly faster than industry average.</w:t>
      </w:r>
    </w:p>
    <w:p>
      <w:pPr>
        <w:numPr>
          <w:ilvl w:val="0"/>
          <w:numId w:val="1002"/>
        </w:numPr>
        <w:pStyle w:val="Compact"/>
      </w:pPr>
      <w:r>
        <w:rPr>
          <w:bCs/>
          <w:b/>
        </w:rPr>
        <w:t xml:space="preserve">Cultural Adaptation:</w:t>
      </w:r>
      <w:r>
        <w:t xml:space="preserve"> </w:t>
      </w:r>
      <w:r>
        <w:t xml:space="preserve">Addressed initial resistance by redesigning content to align with Kuwaiti educational philosophies, including integrating Islamic values into STEM modules as requested by school administrators.</w:t>
      </w:r>
    </w:p>
    <w:p>
      <w:pPr>
        <w:numPr>
          <w:ilvl w:val="0"/>
          <w:numId w:val="1002"/>
        </w:numPr>
        <w:pStyle w:val="Compact"/>
      </w:pPr>
      <w:r>
        <w:rPr>
          <w:bCs/>
          <w:b/>
        </w:rPr>
        <w:t xml:space="preserve">Infrastructure Limitations:</w:t>
      </w:r>
      <w:r>
        <w:t xml:space="preserve"> </w:t>
      </w:r>
      <w:r>
        <w:t xml:space="preserve">Developed lightweight offline capabilities for Professor that works efficiently in areas with intermittent connectivity, a critical requirement across all regions of</w:t>
      </w:r>
      <w:r>
        <w:t xml:space="preserve"> </w:t>
      </w:r>
      <w:r>
        <w:rPr>
          <w:iCs/>
          <w:i/>
        </w:rPr>
        <w:t xml:space="preserve">Kuwait City</w:t>
      </w:r>
      <w:r>
        <w:t xml:space="preserve">.</w:t>
      </w:r>
    </w:p>
    <w:bookmarkEnd w:id="25"/>
    <w:bookmarkStart w:id="26" w:name="Xb310b9c5b5e00206fe862c9f44cfab013543549"/>
    <w:p>
      <w:pPr>
        <w:pStyle w:val="Heading2"/>
      </w:pPr>
      <w:r>
        <w:t xml:space="preserve">Strategic Recommendations for Kuwait City Growth</w:t>
      </w:r>
    </w:p>
    <w:p>
      <w:pPr>
        <w:pStyle w:val="FirstParagraph"/>
      </w:pPr>
      <w:r>
        <w:t xml:space="preserve">Based on Q3 success metrics, we recommend the following initiatives to maintain momentum in</w:t>
      </w:r>
      <w:r>
        <w:t xml:space="preserve"> </w:t>
      </w:r>
      <w:r>
        <w:rPr>
          <w:iCs/>
          <w:i/>
        </w:rPr>
        <w:t xml:space="preserve">Kuwait Kuwait City</w:t>
      </w:r>
      <w:r>
        <w:t xml:space="preserve">:</w:t>
      </w:r>
    </w:p>
    <w:p>
      <w:pPr>
        <w:numPr>
          <w:ilvl w:val="0"/>
          <w:numId w:val="1003"/>
        </w:numPr>
        <w:pStyle w:val="Compact"/>
      </w:pPr>
      <w:r>
        <w:rPr>
          <w:bCs/>
          <w:b/>
        </w:rPr>
        <w:t xml:space="preserve">Expand University Partnerships:</w:t>
      </w:r>
      <w:r>
        <w:t xml:space="preserve"> </w:t>
      </w:r>
      <w:r>
        <w:t xml:space="preserve">Target all 8 major universities in Kuwait City for Professor's higher education suite, currently piloted at Kuwait University with 92% satisfaction rate.</w:t>
      </w:r>
    </w:p>
    <w:p>
      <w:pPr>
        <w:numPr>
          <w:ilvl w:val="0"/>
          <w:numId w:val="1003"/>
        </w:numPr>
        <w:pStyle w:val="Compact"/>
      </w:pPr>
      <w:r>
        <w:rPr>
          <w:bCs/>
          <w:b/>
        </w:rPr>
        <w:t xml:space="preserve">Launch "Professor Ambassador" Program:</w:t>
      </w:r>
      <w:r>
        <w:t xml:space="preserve"> </w:t>
      </w:r>
      <w:r>
        <w:t xml:space="preserve">Recruit and train 50 prominent Kuwaiti educators as certified advocates to drive organic growth within the teaching community across</w:t>
      </w:r>
      <w:r>
        <w:t xml:space="preserve"> </w:t>
      </w:r>
      <w:r>
        <w:rPr>
          <w:iCs/>
          <w:i/>
        </w:rPr>
        <w:t xml:space="preserve">Kuwait City</w:t>
      </w:r>
      <w:r>
        <w:t xml:space="preserve">.</w:t>
      </w:r>
    </w:p>
    <w:p>
      <w:pPr>
        <w:numPr>
          <w:ilvl w:val="0"/>
          <w:numId w:val="1003"/>
        </w:numPr>
        <w:pStyle w:val="Compact"/>
      </w:pPr>
      <w:r>
        <w:rPr>
          <w:bCs/>
          <w:b/>
        </w:rPr>
        <w:t xml:space="preserve">Develop Vocational Tracks:</w:t>
      </w:r>
      <w:r>
        <w:t xml:space="preserve"> </w:t>
      </w:r>
      <w:r>
        <w:t xml:space="preserve">Create specialized modules for Kuwait's National Vocational Training Program (NVTP) in partnership with the Ministry of Higher Education, targeting 10,000 students by Q2 2024.</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Professor</w:t>
      </w:r>
      <w:r>
        <w:t xml:space="preserve"> </w:t>
      </w:r>
      <w:r>
        <w:t xml:space="preserve">Sales Report for Kuwait City demonstrates extraordinary market penetration and product-market fit within one of the Middle East's most dynamic educational ecosystems. Our success in</w:t>
      </w:r>
      <w:r>
        <w:t xml:space="preserve"> </w:t>
      </w:r>
      <w:r>
        <w:rPr>
          <w:iCs/>
          <w:i/>
        </w:rPr>
        <w:t xml:space="preserve">Kuwait Kuwait City</w:t>
      </w:r>
      <w:r>
        <w:t xml:space="preserve"> </w:t>
      </w:r>
      <w:r>
        <w:t xml:space="preserve">is not merely a sales achievement but a validation of our culturally intelligent approach to global edtech deployment. The platform has moved beyond being an educational tool to becoming an essential component of Kuwait's digital education infrastructure, directly supporting the nation's Vision 2035 goals.</w:t>
      </w:r>
    </w:p>
    <w:p>
      <w:pPr>
        <w:pStyle w:val="BodyText"/>
      </w:pPr>
      <w:r>
        <w:t xml:space="preserve">As we move into Q4 2023, Professor stands positioned for exponential growth in Kuwait City, with projected revenue exceeding KWD 2.6 million and market share approaching 40% in the premium edtech segment. The strategic foundation established during Q3 has created a powerful momentum that will define our regional leadership position for years to come.</w:t>
      </w:r>
    </w:p>
    <w:p>
      <w:pPr>
        <w:pStyle w:val="BodyText"/>
      </w:pPr>
      <w:r>
        <w:t xml:space="preserve">Prepared by: Global Sales Intelligence Unit</w:t>
      </w:r>
      <w:r>
        <w:br/>
      </w:r>
      <w:r>
        <w:t xml:space="preserve">Date: October 15, 2023</w:t>
      </w:r>
      <w:r>
        <w:br/>
      </w:r>
      <w:r>
        <w:t xml:space="preserve">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Kuwait City Market Performance</dc:title>
  <dc:creator/>
  <dc:language>en</dc:language>
  <cp:keywords/>
  <dcterms:created xsi:type="dcterms:W3CDTF">2026-07-23T16:42:39Z</dcterms:created>
  <dcterms:modified xsi:type="dcterms:W3CDTF">2026-07-23T16:42:39Z</dcterms:modified>
</cp:coreProperties>
</file>

<file path=docProps/custom.xml><?xml version="1.0" encoding="utf-8"?>
<Properties xmlns="http://schemas.openxmlformats.org/officeDocument/2006/custom-properties" xmlns:vt="http://schemas.openxmlformats.org/officeDocument/2006/docPropsVTypes"/>
</file>