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Kuala</w:t>
      </w:r>
      <w:r>
        <w:t xml:space="preserve"> </w:t>
      </w:r>
      <w:r>
        <w:t xml:space="preserve">Lumpur,</w:t>
      </w:r>
      <w:r>
        <w:t xml:space="preserve"> </w:t>
      </w:r>
      <w:r>
        <w:t xml:space="preserve">Malaysia</w:t>
      </w:r>
    </w:p>
    <w:bookmarkStart w:id="35" w:name="Xadf61eeb6dc87fb7ce6e42ce8019393f91ff733"/>
    <w:p>
      <w:pPr>
        <w:pStyle w:val="Heading1"/>
      </w:pPr>
      <w:r>
        <w:t xml:space="preserve">SALES REPORT FOR PROFESSOR PRODUCT LINE - KUALA LUMPUR, MALAYSIA</w:t>
      </w:r>
    </w:p>
    <w:bookmarkStart w:id="20" w:name="executive-summary"/>
    <w:p>
      <w:pPr>
        <w:pStyle w:val="Heading2"/>
      </w:pPr>
      <w:r>
        <w:t xml:space="preserve">Executive Summary</w:t>
      </w:r>
    </w:p>
    <w:p>
      <w:pPr>
        <w:pStyle w:val="FirstParagraph"/>
      </w:pPr>
      <w:r>
        <w:t xml:space="preserve">This comprehensive Sales Report details the performance of the Professor product line across Kuala Lumpur, Malaysia, for Q3 2023 (July-September). The Professor brand – a premium educational technology solution designed for higher education institutions – has demonstrated exceptional growth in the Malaysian market, achieving a remarkable 42% year-over-year increase in sales revenue. This success positions Professor as the leading edtech solution in Kuala Lumpur's university sector, with significant traction across major institutions including Universiti Malaya, Universiti Teknologi Malaysia (UTM), and International Islamic University Malaysia (IIUM). The report analyzes market dynamics, customer acquisition strategies, and future growth opportunities specific to the Kuala Lumpur business ecosystem.</w:t>
      </w:r>
    </w:p>
    <w:bookmarkEnd w:id="20"/>
    <w:bookmarkStart w:id="21" w:name="X1da7028002c5e9c595b20de52647a1e837a2113"/>
    <w:p>
      <w:pPr>
        <w:pStyle w:val="Heading2"/>
      </w:pPr>
      <w:r>
        <w:t xml:space="preserve">Market Performance: Professor in Kuala Lumpur Context</w:t>
      </w:r>
    </w:p>
    <w:p>
      <w:pPr>
        <w:pStyle w:val="FirstParagraph"/>
      </w:pPr>
      <w:r>
        <w:t xml:space="preserve">Kuala Lumpur serves as the central hub for Malaysia's education technology market, housing 68% of the country's tertiary institutions. The Professor platform – featuring AI-driven academic analytics, virtual classroom modules, and research collaboration tools – has resonated powerfully with KL's academic community. Our Q3 sales data reveals that 78% of new institutional contracts were secured in Kuala Lumpur alone, demonstrating the city's critical role in Professor's national expansion strategy. Notably, the platform achieved a 92% client retention rate among existing KL universities, significantly higher than the industry average of 75%, indicating strong product-market fit.</w:t>
      </w:r>
    </w:p>
    <w:p>
      <w:pPr>
        <w:pStyle w:val="BodyText"/>
      </w:pPr>
      <w:r>
        <w:rPr>
          <w:bCs/>
          <w:b/>
        </w:rPr>
        <w:t xml:space="preserve">Key Q3 Performance Metrics (Kuala Lumpur):</w:t>
      </w:r>
    </w:p>
    <w:p>
      <w:pPr>
        <w:numPr>
          <w:ilvl w:val="0"/>
          <w:numId w:val="1001"/>
        </w:numPr>
        <w:pStyle w:val="Compact"/>
      </w:pPr>
      <w:r>
        <w:rPr>
          <w:bCs/>
          <w:b/>
        </w:rPr>
        <w:t xml:space="preserve">Revenue:</w:t>
      </w:r>
      <w:r>
        <w:t xml:space="preserve"> </w:t>
      </w:r>
      <w:r>
        <w:t xml:space="preserve">RM 14.8 million (42% YoY growth)</w:t>
      </w:r>
    </w:p>
    <w:p>
      <w:pPr>
        <w:numPr>
          <w:ilvl w:val="0"/>
          <w:numId w:val="1001"/>
        </w:numPr>
        <w:pStyle w:val="Compact"/>
      </w:pPr>
      <w:r>
        <w:rPr>
          <w:bCs/>
          <w:b/>
        </w:rPr>
        <w:t xml:space="preserve">New Institutional Contracts:</w:t>
      </w:r>
      <w:r>
        <w:t xml:space="preserve"> </w:t>
      </w:r>
      <w:r>
        <w:t xml:space="preserve">17 (vs. 10 in Q2, 12 in Q3 2022)</w:t>
      </w:r>
    </w:p>
    <w:p>
      <w:pPr>
        <w:numPr>
          <w:ilvl w:val="0"/>
          <w:numId w:val="1001"/>
        </w:numPr>
        <w:pStyle w:val="Compact"/>
      </w:pPr>
      <w:r>
        <w:rPr>
          <w:bCs/>
          <w:b/>
        </w:rPr>
        <w:t xml:space="preserve">University Penetration Rate:</w:t>
      </w:r>
      <w:r>
        <w:t xml:space="preserve"> </w:t>
      </w:r>
      <w:r>
        <w:t xml:space="preserve">Reached 63% across target institutions (up from 51% in Q2)</w:t>
      </w:r>
    </w:p>
    <w:p>
      <w:pPr>
        <w:pStyle w:val="FirstParagraph"/>
      </w:pPr>
      <w:r>
        <w:t xml:space="preserve">The growth trajectory directly correlates with Malaysia's national education technology initiatives, particularly the Ministry of Education's "Digital Learning Transformation" program, which prioritizes AI-driven academic tools. Professor's localization strategy – including Bahasa Malaysia interface options and integration with Malaysia's National Student Information System (NSIS) – has been pivotal in gaining trust among Kuala Lumpur institutions.</w:t>
      </w:r>
    </w:p>
    <w:bookmarkEnd w:id="21"/>
    <w:bookmarkStart w:id="25" w:name="X49b00121b881807c1ad226708335ed7e7ccc5ef"/>
    <w:p>
      <w:pPr>
        <w:pStyle w:val="Heading2"/>
      </w:pPr>
      <w:r>
        <w:t xml:space="preserve">Customer Acquisition &amp; Market Penetration Strategy</w:t>
      </w:r>
    </w:p>
    <w:p>
      <w:pPr>
        <w:pStyle w:val="FirstParagraph"/>
      </w:pPr>
      <w:r>
        <w:t xml:space="preserve">Our success in Kuala Lumpur stems from a hyper-localized approach tailored to the Malaysian higher education landscape. Key strategies include:</w:t>
      </w:r>
    </w:p>
    <w:bookmarkStart w:id="22" w:name="government-partnership-integration"/>
    <w:p>
      <w:pPr>
        <w:pStyle w:val="Heading3"/>
      </w:pPr>
      <w:r>
        <w:t xml:space="preserve">1. Government Partnership Integration</w:t>
      </w:r>
    </w:p>
    <w:p>
      <w:pPr>
        <w:pStyle w:val="FirstParagraph"/>
      </w:pPr>
      <w:r>
        <w:t xml:space="preserve">We aligned Professor's solution with the Ministry of Education's "Smart Campus Initiative," securing endorsement from the National Higher Education Fund (PTPTN) for university deployments. This credibility accelerated adoption across 9 of KL's top 10 public universities.</w:t>
      </w:r>
    </w:p>
    <w:bookmarkEnd w:id="22"/>
    <w:bookmarkStart w:id="23" w:name="strategic-academic-collaborations"/>
    <w:p>
      <w:pPr>
        <w:pStyle w:val="Heading3"/>
      </w:pPr>
      <w:r>
        <w:t xml:space="preserve">2. Strategic Academic Collaborations</w:t>
      </w:r>
    </w:p>
    <w:p>
      <w:pPr>
        <w:pStyle w:val="FirstParagraph"/>
      </w:pPr>
      <w:r>
        <w:t xml:space="preserve">Partnerships with Kuala Lumpur-based academic influencers – including Professor Dr. Aminah Hassan (Dean of ICT at Universiti Kebangsaan Malaysia) and Dr. Rajesh Kumar (Head of AI Research, UTM) – provided authentic endorsements through case studies featured in KL education conferences.</w:t>
      </w:r>
    </w:p>
    <w:bookmarkEnd w:id="23"/>
    <w:bookmarkStart w:id="24" w:name="cultural-adaptation"/>
    <w:p>
      <w:pPr>
        <w:pStyle w:val="Heading3"/>
      </w:pPr>
      <w:r>
        <w:t xml:space="preserve">3. Cultural Adaptation</w:t>
      </w:r>
    </w:p>
    <w:p>
      <w:pPr>
        <w:pStyle w:val="FirstParagraph"/>
      </w:pPr>
      <w:r>
        <w:t xml:space="preserve">Recognizing Malaysia's multicultural environment, we implemented:</w:t>
      </w:r>
    </w:p>
    <w:p>
      <w:pPr>
        <w:numPr>
          <w:ilvl w:val="0"/>
          <w:numId w:val="1002"/>
        </w:numPr>
        <w:pStyle w:val="Compact"/>
      </w:pPr>
      <w:r>
        <w:t xml:space="preserve">Bilingual support (English &amp; Bahasa Malaysia)</w:t>
      </w:r>
    </w:p>
    <w:p>
      <w:pPr>
        <w:numPr>
          <w:ilvl w:val="0"/>
          <w:numId w:val="1002"/>
        </w:numPr>
        <w:pStyle w:val="Compact"/>
      </w:pPr>
      <w:r>
        <w:t xml:space="preserve">Cultural sensitivity training for local sales team</w:t>
      </w:r>
    </w:p>
    <w:p>
      <w:pPr>
        <w:numPr>
          <w:ilvl w:val="0"/>
          <w:numId w:val="1002"/>
        </w:numPr>
        <w:pStyle w:val="Compact"/>
      </w:pPr>
      <w:r>
        <w:t xml:space="preserve">Content tailored to Malaysian curriculum frameworks</w:t>
      </w:r>
    </w:p>
    <w:p>
      <w:pPr>
        <w:pStyle w:val="FirstParagraph"/>
      </w:pPr>
      <w:r>
        <w:t xml:space="preserve">"Professor's integration with our university's existing systems was seamless – unlike other solutions that required costly overhauls. The Kuala Lumpur-based support team resolved all technical queries within 4 hours during critical exam periods."</w:t>
      </w:r>
      <w:r>
        <w:br/>
      </w:r>
      <w:r>
        <w:rPr>
          <w:bCs/>
          <w:b/>
        </w:rPr>
        <w:t xml:space="preserve">- Prof. Dr. Siti Noraini, Head of Digital Transformation, Universiti Putra Malaysia</w:t>
      </w:r>
    </w:p>
    <w:bookmarkEnd w:id="24"/>
    <w:bookmarkEnd w:id="25"/>
    <w:bookmarkStart w:id="29" w:name="X13ef86d74bce6e82c274295c95ce2e8ab2274a7"/>
    <w:p>
      <w:pPr>
        <w:pStyle w:val="Heading2"/>
      </w:pPr>
      <w:r>
        <w:t xml:space="preserve">Challenges &amp; Strategic Response in Kuala Lumpur Market</w:t>
      </w:r>
    </w:p>
    <w:p>
      <w:pPr>
        <w:pStyle w:val="FirstParagraph"/>
      </w:pPr>
      <w:r>
        <w:t xml:space="preserve">The Kuala Lumpur market presented unique challenges that required agile adaptation:</w:t>
      </w:r>
    </w:p>
    <w:bookmarkStart w:id="26" w:name="challenge-1-budget-cycles"/>
    <w:p>
      <w:pPr>
        <w:pStyle w:val="Heading3"/>
      </w:pPr>
      <w:r>
        <w:t xml:space="preserve">Challenge 1: Budget Cycles</w:t>
      </w:r>
    </w:p>
    <w:p>
      <w:pPr>
        <w:pStyle w:val="FirstParagraph"/>
      </w:pPr>
      <w:r>
        <w:t xml:space="preserve">Malaysian universities operate on annual fiscal calendars (January-December), creating intense Q4 sales pressure. Professor responded by launching a "Mid-Year Refresh" program in July, offering free analytics modules to secure commitments before the fiscal year-end.</w:t>
      </w:r>
    </w:p>
    <w:bookmarkEnd w:id="26"/>
    <w:bookmarkStart w:id="27" w:name="challenge-2-competitive-landscape"/>
    <w:p>
      <w:pPr>
        <w:pStyle w:val="Heading3"/>
      </w:pPr>
      <w:r>
        <w:t xml:space="preserve">Challenge 2: Competitive Landscape</w:t>
      </w:r>
    </w:p>
    <w:p>
      <w:pPr>
        <w:pStyle w:val="FirstParagraph"/>
      </w:pPr>
      <w:r>
        <w:t xml:space="preserve">Local competitor EduSolutions had deep institutional relationships. Professor countered by developing a specialized "Kuala Lumpur Campus Module" that addressed region-specific needs like multi-campus management for universities with satellite campuses across KL.</w:t>
      </w:r>
    </w:p>
    <w:bookmarkEnd w:id="27"/>
    <w:bookmarkStart w:id="28" w:name="X6ecdd74cf570a8f2f3ced04b6392a72b24b95d3"/>
    <w:p>
      <w:pPr>
        <w:pStyle w:val="Heading3"/>
      </w:pPr>
      <w:r>
        <w:t xml:space="preserve">Challenge 3: Tech Infrastructure Variability</w:t>
      </w:r>
    </w:p>
    <w:p>
      <w:pPr>
        <w:pStyle w:val="FirstParagraph"/>
      </w:pPr>
      <w:r>
        <w:t xml:space="preserve">Many KL institutions still operate on legacy systems. Our local engineering team developed lightweight API connectors that work on minimal bandwidth – critical for university campuses with inconsistent internet connectivity.</w:t>
      </w:r>
    </w:p>
    <w:p>
      <w:pPr>
        <w:pStyle w:val="BodyText"/>
      </w:pPr>
      <w:r>
        <w:t xml:space="preserve">These responses directly contributed to our 27% increase in average deal size compared to Q2, demonstrating how localized problem-solving drives revenue growth.</w:t>
      </w:r>
    </w:p>
    <w:bookmarkEnd w:id="28"/>
    <w:bookmarkEnd w:id="29"/>
    <w:bookmarkStart w:id="33" w:name="X8270be9ac5b1fe26d5f6019d21ea5ae80169447"/>
    <w:p>
      <w:pPr>
        <w:pStyle w:val="Heading2"/>
      </w:pPr>
      <w:r>
        <w:t xml:space="preserve">Future Outlook: Professor's Strategic Path in Kuala Lumpur</w:t>
      </w:r>
    </w:p>
    <w:p>
      <w:pPr>
        <w:pStyle w:val="FirstParagraph"/>
      </w:pPr>
      <w:r>
        <w:t xml:space="preserve">Kuala Lumpur remains the cornerstone of Professor's Southeast Asian expansion. Our 2024 strategy focuses on three pillars:</w:t>
      </w:r>
    </w:p>
    <w:bookmarkStart w:id="30" w:name="deepening-kl-university-network"/>
    <w:p>
      <w:pPr>
        <w:pStyle w:val="Heading3"/>
      </w:pPr>
      <w:r>
        <w:t xml:space="preserve">1. Deepening KL University Network</w:t>
      </w:r>
    </w:p>
    <w:p>
      <w:pPr>
        <w:pStyle w:val="FirstParagraph"/>
      </w:pPr>
      <w:r>
        <w:t xml:space="preserve">Targeting 85% penetration across KL's top 15 universities by Q2 2024 through exclusive "Professor Ambassador" programs where faculty members co-develop curriculum content.</w:t>
      </w:r>
    </w:p>
    <w:bookmarkEnd w:id="30"/>
    <w:bookmarkStart w:id="31" w:name="government-driven-expansion"/>
    <w:p>
      <w:pPr>
        <w:pStyle w:val="Heading3"/>
      </w:pPr>
      <w:r>
        <w:t xml:space="preserve">2. Government-Driven Expansion</w:t>
      </w:r>
    </w:p>
    <w:p>
      <w:pPr>
        <w:pStyle w:val="FirstParagraph"/>
      </w:pPr>
      <w:r>
        <w:t xml:space="preserve">Aligning with the Malaysian Digital Economy Corporation's (MDEC) "Digital Education for All" initiative to deploy Professor at 100+ public schools in KL by 2025.</w:t>
      </w:r>
    </w:p>
    <w:bookmarkEnd w:id="31"/>
    <w:bookmarkStart w:id="32" w:name="local-innovation-hub"/>
    <w:p>
      <w:pPr>
        <w:pStyle w:val="Heading3"/>
      </w:pPr>
      <w:r>
        <w:t xml:space="preserve">3. Local Innovation Hub</w:t>
      </w:r>
    </w:p>
    <w:p>
      <w:pPr>
        <w:pStyle w:val="FirstParagraph"/>
      </w:pPr>
      <w:r>
        <w:t xml:space="preserve">Establishing a dedicated R&amp;D center in Kuala Lumpur's Cyberjaya tech park to develop solutions addressing regional challenges like multilingual academic support and rural-urban education disparity.</w:t>
      </w:r>
    </w:p>
    <w:p>
      <w:pPr>
        <w:pStyle w:val="BodyText"/>
      </w:pPr>
      <w:r>
        <w:t xml:space="preserve">"Professor isn't just selling software – we're building Malaysia's educational infrastructure. Our Kuala Lumpur office has become the nerve center for all Southeast Asian edtech operations, proving that local market understanding drives global scalability."</w:t>
      </w:r>
      <w:r>
        <w:br/>
      </w:r>
      <w:r>
        <w:rPr>
          <w:bCs/>
          <w:b/>
        </w:rPr>
        <w:t xml:space="preserve">- Arif Rahman, Regional Director - Southeast Asia</w:t>
      </w:r>
    </w:p>
    <w:bookmarkEnd w:id="32"/>
    <w:bookmarkEnd w:id="33"/>
    <w:bookmarkStart w:id="34" w:name="Xf02e352802a94350af8c674aa13d87bf3c9bc61"/>
    <w:p>
      <w:pPr>
        <w:pStyle w:val="Heading2"/>
      </w:pPr>
      <w:r>
        <w:t xml:space="preserve">Conclusion: The Professor Advantage in Malaysia's Education Ecosystem</w:t>
      </w:r>
    </w:p>
    <w:p>
      <w:pPr>
        <w:pStyle w:val="FirstParagraph"/>
      </w:pPr>
      <w:r>
        <w:t xml:space="preserve">The sales performance of Professor in Kuala Lumpur underscores a transformative shift in Malaysia's higher education technology adoption. By prioritizing cultural intelligence, government alignment, and hyper-localized product development, we've achieved market leadership where competitors focused solely on generic solutions. The data is unequivocal: institutions that implemented Professor saw 31% faster academic analytics deployment and 24% higher student engagement with digital resources – metrics directly tied to KL's strategic education priorities.</w:t>
      </w:r>
    </w:p>
    <w:p>
      <w:pPr>
        <w:pStyle w:val="BodyText"/>
      </w:pPr>
      <w:r>
        <w:t xml:space="preserve">As Malaysia accelerates toward its Vision 2050 goals for digital excellence, Professor's position as the preferred edtech partner in Kuala Lumpur positions us not just for continued revenue growth, but for shaping the future of Malaysian education. We project that sustaining current growth rates will make Kuala Lumpur responsible for over 60% of Professor's total Southeast Asian revenue by 2025.</w:t>
      </w:r>
    </w:p>
    <w:p>
      <w:pPr>
        <w:pStyle w:val="BodyText"/>
      </w:pPr>
      <w:r>
        <w:t xml:space="preserve">This Sales Report confirms that when technology solutions are designed with deep understanding of local context – as Professor has done in Malaysia Kuala Lumpur – market leadership becomes inevitable. The future of education is being built here, and Professor is at the forefront of that transformation.</w:t>
      </w:r>
    </w:p>
    <w:bookmarkEnd w:id="34"/>
    <w:p>
      <w:pPr>
        <w:pStyle w:val="BodyText"/>
      </w:pPr>
      <w:r>
        <w:t xml:space="preserve">Prepared for: Professor Global Leadership Team | Date: October 15, 2023 | Confidential - For Internal Use Only</w:t>
      </w:r>
    </w:p>
    <w:p>
      <w:pPr>
        <w:pStyle w:val="BodyText"/>
      </w:pPr>
      <w:r>
        <w:t xml:space="preserve">This document constitutes an official sales performance report covering the Professor product line in Malaysia Kuala Lumpur market.</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Performance Report - Kuala Lumpur, Malaysia</dc:title>
  <dc:creator/>
  <dc:language>en</dc:language>
  <cp:keywords/>
  <dcterms:created xsi:type="dcterms:W3CDTF">2026-07-21T06:09:55Z</dcterms:created>
  <dcterms:modified xsi:type="dcterms:W3CDTF">2026-07-21T06:09:55Z</dcterms:modified>
</cp:coreProperties>
</file>

<file path=docProps/custom.xml><?xml version="1.0" encoding="utf-8"?>
<Properties xmlns="http://schemas.openxmlformats.org/officeDocument/2006/custom-properties" xmlns:vt="http://schemas.openxmlformats.org/officeDocument/2006/docPropsVTypes"/>
</file>