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9" w:name="Xeca6973240c4961b9bf5211494b57108e7a43de"/>
    <w:p>
      <w:pPr>
        <w:pStyle w:val="Heading1"/>
      </w:pPr>
      <w:r>
        <w:t xml:space="preserve">Sales Report: Professor Product Suite Performance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EduTech Solutions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flagship product suite, "Professor," across the critical Netherlands Amsterdam market. As a strategic hub for European education technology, Amsterdam has delivered exceptional growth potential, with Professor achieving a remarkable 37% year-over-year revenue increase. The Netherlands market now represents 18% of our total European sales volume, driven by strong adoption in universities and corporate training centers throughout Amsterdam. This report outlines key metrics, market insights, and strategic recommendations to capitalize on this momentum.</w:t>
      </w:r>
    </w:p>
    <w:bookmarkEnd w:id="20"/>
    <w:bookmarkStart w:id="21" w:name="X158acfad77de77bfdd7cf8ca6e04b7109008ab1"/>
    <w:p>
      <w:pPr>
        <w:pStyle w:val="Heading2"/>
      </w:pPr>
      <w:r>
        <w:t xml:space="preserve">Key Performance Indicators: Professor Sales in Amsterdam</w:t>
      </w:r>
    </w:p>
    <w:p>
      <w:pPr>
        <w:pStyle w:val="FirstParagraph"/>
      </w:pPr>
      <w:r>
        <w:t xml:space="preserve">Our Q3 Sales Report reveals significant progress for the Professor product line within Netherlands Amsterdam. The localized sales team (Amsterdam Office) achieved €1.87M in revenue, surpassing the quarterly target of €1.52M by 23%. This represents an 89% increase in new enterprise contracts compared to Q2, with particular strength in the higher-margin "Professor Enterprise" tier.</w:t>
      </w:r>
    </w:p>
    <w:p>
      <w:pPr>
        <w:pStyle w:val="BodyText"/>
      </w:pPr>
      <w:r>
        <w:t xml:space="preserve">Product Tier</w:t>
      </w:r>
    </w:p>
    <w:p>
      <w:pPr>
        <w:pStyle w:val="BodyText"/>
      </w:pPr>
      <w:r>
        <w:t xml:space="preserve">Q3 Revenue (€)</w:t>
      </w:r>
    </w:p>
    <w:p>
      <w:pPr>
        <w:pStyle w:val="BodyText"/>
      </w:pPr>
      <w:r>
        <w:t xml:space="preserve">YoY Growth</w:t>
      </w:r>
    </w:p>
    <w:p>
      <w:pPr>
        <w:pStyle w:val="BodyText"/>
      </w:pPr>
      <w:r>
        <w:t xml:space="preserve">Market Share (Amsterdam)</w:t>
      </w:r>
    </w:p>
    <w:p>
      <w:pPr>
        <w:pStyle w:val="BodyText"/>
      </w:pPr>
      <w:r>
        <w:t xml:space="preserve">Professor Basic</w:t>
      </w:r>
    </w:p>
    <w:p>
      <w:pPr>
        <w:pStyle w:val="BodyText"/>
      </w:pPr>
      <w:r>
        <w:t xml:space="preserve">420,000</w:t>
      </w:r>
    </w:p>
    <w:p>
      <w:pPr>
        <w:pStyle w:val="BodyText"/>
      </w:pPr>
      <w:r>
        <w:t xml:space="preserve">+18%</w:t>
      </w:r>
    </w:p>
    <w:p>
      <w:pPr>
        <w:pStyle w:val="BodyText"/>
      </w:pPr>
      <w:r>
        <w:t xml:space="preserve">34%</w:t>
      </w:r>
    </w:p>
    <w:p>
      <w:pPr>
        <w:pStyle w:val="BodyText"/>
      </w:pPr>
      <w:r>
        <w:t xml:space="preserve">Professor Pro</w:t>
      </w:r>
    </w:p>
    <w:p>
      <w:pPr>
        <w:pStyle w:val="BodyText"/>
      </w:pPr>
      <w:r>
        <w:rPr>
          <w:u w:val="single"/>
          <w:iCs/>
          <w:i/>
          <w:bCs/>
          <w:b/>
        </w:rPr>
        <w:t xml:space="preserve">752,500</w:t>
      </w:r>
    </w:p>
    <w:p>
      <w:pPr>
        <w:pStyle w:val="BodyText"/>
      </w:pPr>
      <w:r>
        <w:t xml:space="preserve">+42%</w:t>
      </w:r>
    </w:p>
    <w:p>
      <w:pPr>
        <w:pStyle w:val="BodyText"/>
      </w:pPr>
      <w:r>
        <w:t xml:space="preserve">51%</w:t>
      </w:r>
    </w:p>
    <w:p>
      <w:pPr>
        <w:pStyle w:val="BodyText"/>
      </w:pPr>
      <w:r>
        <w:t xml:space="preserve">Professor Enterprise</w:t>
      </w:r>
    </w:p>
    <w:p>
      <w:pPr>
        <w:pStyle w:val="BodyText"/>
      </w:pPr>
      <w:r>
        <w:t xml:space="preserve">697,500</w:t>
      </w:r>
    </w:p>
    <w:p>
      <w:pPr>
        <w:pStyle w:val="BodyText"/>
      </w:pPr>
      <w:r>
        <w:t xml:space="preserve">+127%</w:t>
      </w:r>
    </w:p>
    <w:p>
      <w:pPr>
        <w:pStyle w:val="BodyText"/>
      </w:pPr>
      <w:r>
        <w:t xml:space="preserve">89% (dominant in enterprise segment)</w:t>
      </w:r>
    </w:p>
    <w:bookmarkEnd w:id="21"/>
    <w:bookmarkStart w:id="22" w:name="Xdfc27ace37780a9dfdd7a997edfe10c6c3581ca"/>
    <w:p>
      <w:pPr>
        <w:pStyle w:val="Heading2"/>
      </w:pPr>
      <w:r>
        <w:t xml:space="preserve">Market Analysis: Why Amsterdam Delivers for Professor</w:t>
      </w:r>
    </w:p>
    <w:p>
      <w:pPr>
        <w:pStyle w:val="FirstParagraph"/>
      </w:pPr>
      <w:r>
        <w:t xml:space="preserve">The Netherlands Amsterdam market has emerged as a pivotal growth engine for the Professor brand. Several strategic factors explain this success:</w:t>
      </w:r>
    </w:p>
    <w:p>
      <w:pPr>
        <w:numPr>
          <w:ilvl w:val="0"/>
          <w:numId w:val="1001"/>
        </w:numPr>
        <w:pStyle w:val="Compact"/>
      </w:pPr>
      <w:r>
        <w:rPr>
          <w:bCs/>
          <w:b/>
        </w:rPr>
        <w:t xml:space="preserve">Educational Ecosystem Alignment:</w:t>
      </w:r>
      <w:r>
        <w:t xml:space="preserve"> </w:t>
      </w:r>
      <w:r>
        <w:t xml:space="preserve">Amsterdam hosts 50+ higher education institutions (including University of Amsterdam, Vrije Universiteit), creating ideal conditions for Professor's AI-driven academic analytics platform. The product integrates seamlessly with the Netherlands' national educational data framework (LOF), a critical adoption driver.</w:t>
      </w:r>
    </w:p>
    <w:p>
      <w:pPr>
        <w:numPr>
          <w:ilvl w:val="0"/>
          <w:numId w:val="1001"/>
        </w:numPr>
        <w:pStyle w:val="Compact"/>
      </w:pPr>
      <w:r>
        <w:rPr>
          <w:bCs/>
          <w:b/>
        </w:rPr>
        <w:t xml:space="preserve">Corporate Training Demand:</w:t>
      </w:r>
      <w:r>
        <w:t xml:space="preserve"> </w:t>
      </w:r>
      <w:r>
        <w:t xml:space="preserve">Major Dutch enterprises like ING, Ahold Delhaize, and Philips have implemented Professor Enterprise across their training ecosystems. Amsterdam's status as Europe's corporate headquarters hub accounts for 62% of our enterprise sales in the Netherlands.</w:t>
      </w:r>
    </w:p>
    <w:p>
      <w:pPr>
        <w:numPr>
          <w:ilvl w:val="0"/>
          <w:numId w:val="1001"/>
        </w:numPr>
        <w:pStyle w:val="Compact"/>
      </w:pPr>
      <w:r>
        <w:rPr>
          <w:bCs/>
          <w:b/>
        </w:rPr>
        <w:t xml:space="preserve">Government Partnership:</w:t>
      </w:r>
      <w:r>
        <w:t xml:space="preserve"> </w:t>
      </w:r>
      <w:r>
        <w:t xml:space="preserve">The Dutch Ministry of Education recently endorsed Professor for national teacher development programs, securing a €250K pilot contract. This validates Professor's educational methodology within the Netherlands' academic standards framework.</w:t>
      </w:r>
    </w:p>
    <w:bookmarkEnd w:id="22"/>
    <w:bookmarkStart w:id="23" w:name="competitive-landscape-assessment"/>
    <w:p>
      <w:pPr>
        <w:pStyle w:val="Heading2"/>
      </w:pPr>
      <w:r>
        <w:t xml:space="preserve">Competitive Landscape Assessment</w:t>
      </w:r>
    </w:p>
    <w:p>
      <w:pPr>
        <w:pStyle w:val="FirstParagraph"/>
      </w:pPr>
      <w:r>
        <w:t xml:space="preserve">In the Netherlands Amsterdam market, Professor holds a commanding lead against competitors like EduLabs and TeachTech. Our Q3 Sales Report indicates:</w:t>
      </w:r>
    </w:p>
    <w:p>
      <w:pPr>
        <w:numPr>
          <w:ilvl w:val="0"/>
          <w:numId w:val="1002"/>
        </w:numPr>
        <w:pStyle w:val="Compact"/>
      </w:pPr>
      <w:r>
        <w:rPr>
          <w:bCs/>
          <w:b/>
        </w:rPr>
        <w:t xml:space="preserve">Product Differentiation:</w:t>
      </w:r>
      <w:r>
        <w:t xml:space="preserve"> </w:t>
      </w:r>
      <w:r>
        <w:t xml:space="preserve">Professor's unique "Adaptive Learning Pathways" feature (patent-pending in Europe) outperforms competitors' generic analytics by 47% in user retention metrics.</w:t>
      </w:r>
    </w:p>
    <w:p>
      <w:pPr>
        <w:numPr>
          <w:ilvl w:val="0"/>
          <w:numId w:val="1002"/>
        </w:numPr>
        <w:pStyle w:val="Compact"/>
      </w:pPr>
      <w:r>
        <w:rPr>
          <w:bCs/>
          <w:b/>
        </w:rPr>
        <w:t xml:space="preserve">Pricing Strategy:</w:t>
      </w:r>
      <w:r>
        <w:t xml:space="preserve"> </w:t>
      </w:r>
      <w:r>
        <w:t xml:space="preserve">Our tiered subscription model (with Dutch VAT compliance) delivers 32% higher lifetime value than regional alternatives.</w:t>
      </w:r>
    </w:p>
    <w:p>
      <w:pPr>
        <w:numPr>
          <w:ilvl w:val="0"/>
          <w:numId w:val="1002"/>
        </w:numPr>
        <w:pStyle w:val="Compact"/>
      </w:pPr>
      <w:r>
        <w:rPr>
          <w:bCs/>
          <w:b/>
        </w:rPr>
        <w:t xml:space="preserve">Local Support Network:</w:t>
      </w:r>
      <w:r>
        <w:t xml:space="preserve"> </w:t>
      </w:r>
      <w:r>
        <w:t xml:space="preserve">Amsterdam's dedicated support team (15 specialists fluent in Dutch) reduced average ticket resolution time to 7.8 hours – beating industry benchmark by 64%.</w:t>
      </w:r>
    </w:p>
    <w:bookmarkEnd w:id="23"/>
    <w:bookmarkStart w:id="24" w:name="challenges-strategic-imperatives"/>
    <w:p>
      <w:pPr>
        <w:pStyle w:val="Heading2"/>
      </w:pPr>
      <w:r>
        <w:t xml:space="preserve">Challenges &amp; Strategic Imperatives</w:t>
      </w:r>
    </w:p>
    <w:p>
      <w:pPr>
        <w:pStyle w:val="FirstParagraph"/>
      </w:pPr>
      <w:r>
        <w:t xml:space="preserve">Despite strong results, three challenges require immediate attention to sustain Professor's trajectory in Netherlands Amsterdam:</w:t>
      </w:r>
    </w:p>
    <w:p>
      <w:pPr>
        <w:numPr>
          <w:ilvl w:val="0"/>
          <w:numId w:val="1003"/>
        </w:numPr>
        <w:pStyle w:val="Compact"/>
      </w:pPr>
      <w:r>
        <w:rPr>
          <w:bCs/>
          <w:b/>
        </w:rPr>
        <w:t xml:space="preserve">Cultural Nuance Gap:</w:t>
      </w:r>
      <w:r>
        <w:t xml:space="preserve"> </w:t>
      </w:r>
      <w:r>
        <w:t xml:space="preserve">Non-Dutch speaking sales staff caused 19% of mid-quarter deal delays during Q3. Recommendation: Implement mandatory Dutch language training for all Europe-facing personnel by Q1 2024.</w:t>
      </w:r>
    </w:p>
    <w:p>
      <w:pPr>
        <w:numPr>
          <w:ilvl w:val="0"/>
          <w:numId w:val="1003"/>
        </w:numPr>
        <w:pStyle w:val="Compact"/>
      </w:pPr>
      <w:r>
        <w:rPr>
          <w:bCs/>
          <w:b/>
        </w:rPr>
        <w:t xml:space="preserve">Compliance Evolution:</w:t>
      </w:r>
      <w:r>
        <w:t xml:space="preserve"> </w:t>
      </w:r>
      <w:r>
        <w:t xml:space="preserve">New Dutch Data Protection Act amendments (effective November) require Professor to update its GDPR protocols. Budget allocation of €85K has been approved for compliance enhancements.</w:t>
      </w:r>
    </w:p>
    <w:bookmarkEnd w:id="24"/>
    <w:bookmarkStart w:id="25" w:name="q4-growth-strategy-for-professor"/>
    <w:p>
      <w:pPr>
        <w:pStyle w:val="Heading2"/>
      </w:pPr>
      <w:r>
        <w:t xml:space="preserve">Q4 Growth Strategy for Professor</w:t>
      </w:r>
    </w:p>
    <w:p>
      <w:pPr>
        <w:pStyle w:val="FirstParagraph"/>
      </w:pPr>
      <w:r>
        <w:t xml:space="preserve">To build on Q3 momentum, we propose three targeted initiatives for the Netherlands Amsterdam market:</w:t>
      </w:r>
    </w:p>
    <w:p>
      <w:pPr>
        <w:numPr>
          <w:ilvl w:val="0"/>
          <w:numId w:val="1004"/>
        </w:numPr>
        <w:pStyle w:val="Compact"/>
      </w:pPr>
      <w:r>
        <w:rPr>
          <w:bCs/>
          <w:b/>
        </w:rPr>
        <w:t xml:space="preserve">Netherlands Education Summit:</w:t>
      </w:r>
      <w:r>
        <w:t xml:space="preserve"> </w:t>
      </w:r>
      <w:r>
        <w:t xml:space="preserve">Host "Professor Academia Day" at A'dam Tower (Amsterdam) on November 15. Target: Secure 20+ new university contracts with integrated Professor-LOF certification.</w:t>
      </w:r>
    </w:p>
    <w:p>
      <w:pPr>
        <w:numPr>
          <w:ilvl w:val="0"/>
          <w:numId w:val="1004"/>
        </w:numPr>
        <w:pStyle w:val="Compact"/>
      </w:pPr>
      <w:r>
        <w:rPr>
          <w:bCs/>
          <w:b/>
        </w:rPr>
        <w:t xml:space="preserve">Corporate Alliances Program:</w:t>
      </w:r>
      <w:r>
        <w:t xml:space="preserve"> </w:t>
      </w:r>
      <w:r>
        <w:t xml:space="preserve">Forge partnerships with major Amsterdam-based corporations to embed Professor into their L&amp;D frameworks. Target: 8 new enterprise contracts (€1M+ value).</w:t>
      </w:r>
    </w:p>
    <w:p>
      <w:pPr>
        <w:numPr>
          <w:ilvl w:val="0"/>
          <w:numId w:val="1004"/>
        </w:numPr>
        <w:pStyle w:val="Compact"/>
      </w:pPr>
      <w:r>
        <w:rPr>
          <w:bCs/>
          <w:b/>
        </w:rPr>
        <w:t xml:space="preserve">Dutch Language Localization:</w:t>
      </w:r>
      <w:r>
        <w:t xml:space="preserve"> </w:t>
      </w:r>
      <w:r>
        <w:t xml:space="preserve">Launch fully localized Professor interface and marketing materials in Dutch by December 2023. Projected impact: 25% increase in mid-market conversion rates.</w:t>
      </w:r>
    </w:p>
    <w:bookmarkEnd w:id="25"/>
    <w:bookmarkStart w:id="26" w:name="financial-projection-market-opportunity"/>
    <w:p>
      <w:pPr>
        <w:pStyle w:val="Heading2"/>
      </w:pPr>
      <w:r>
        <w:t xml:space="preserve">Financial Projection &amp; Market Opportunity</w:t>
      </w:r>
    </w:p>
    <w:p>
      <w:pPr>
        <w:pStyle w:val="FirstParagraph"/>
      </w:pPr>
      <w:r>
        <w:t xml:space="preserve">The Netherlands Amsterdam market represents a €7.3M addressable opportunity for Professor, growing at 14% CAGR (Source: Dutch Education Tech Association). With current penetration at just 16% in key institutions, our Q4 strategy positions us to capture an additional €1.2M in revenue by year-end. This aligns with our global target of achieving 25% market share across Western Europe within two years.</w:t>
      </w:r>
    </w:p>
    <w:bookmarkEnd w:id="26"/>
    <w:bookmarkStart w:id="28" w:name="conclusion"/>
    <w:p>
      <w:pPr>
        <w:pStyle w:val="Heading2"/>
      </w:pPr>
      <w:r>
        <w:t xml:space="preserve">Conclusion</w:t>
      </w:r>
    </w:p>
    <w:p>
      <w:pPr>
        <w:pStyle w:val="FirstParagraph"/>
      </w:pPr>
      <w:r>
        <w:t xml:space="preserve">The Netherlands Amsterdam market has proven to be the most lucrative regional performance driver for Professor this year. Our Q3 Sales Report confirms that strategic alignment with Dutch educational standards, corporate training needs, and cultural expectations is delivering exceptional results. As we move into Q4, we recommend doubling down on localized engagement while addressing compliance and language barriers identified in our analysis.</w:t>
      </w:r>
    </w:p>
    <w:p>
      <w:pPr>
        <w:pStyle w:val="BodyText"/>
      </w:pPr>
      <w:r>
        <w:t xml:space="preserve">Professor's success in Amsterdam demonstrates how a product-centric approach combined with deep market understanding creates sustainable growth. The Netherlands Amsterdam ecosystem has become a blueprint for our European expansion strategy. We are confident that executing the recommended initiatives will solidify Professor's leadership position and set the stage for 2024 market dominance across all of the Netherlands.</w:t>
      </w:r>
    </w:p>
    <w:bookmarkStart w:id="27" w:name="appendix-key-amsterdam-market-metrics"/>
    <w:p>
      <w:pPr>
        <w:pStyle w:val="Heading3"/>
      </w:pPr>
      <w:r>
        <w:t xml:space="preserve">Appendix: Key Amsterdam Market Metrics</w:t>
      </w:r>
    </w:p>
    <w:p>
      <w:pPr>
        <w:numPr>
          <w:ilvl w:val="0"/>
          <w:numId w:val="1005"/>
        </w:numPr>
        <w:pStyle w:val="Compact"/>
      </w:pPr>
      <w:r>
        <w:rPr>
          <w:bCs/>
          <w:b/>
        </w:rPr>
        <w:t xml:space="preserve">Customer Acquisition Cost (CAC):</w:t>
      </w:r>
      <w:r>
        <w:t xml:space="preserve"> </w:t>
      </w:r>
      <w:r>
        <w:t xml:space="preserve">€4,250 (below European average of €6,100)</w:t>
      </w:r>
    </w:p>
    <w:p>
      <w:pPr>
        <w:numPr>
          <w:ilvl w:val="0"/>
          <w:numId w:val="1005"/>
        </w:numPr>
        <w:pStyle w:val="Compact"/>
      </w:pPr>
      <w:r>
        <w:rPr>
          <w:bCs/>
          <w:b/>
        </w:rPr>
        <w:t xml:space="preserve">Net Revenue Retention:</w:t>
      </w:r>
      <w:r>
        <w:t xml:space="preserve"> </w:t>
      </w:r>
      <w:r>
        <w:t xml:space="preserve">128% (indicating strong product stickiness)</w:t>
      </w:r>
    </w:p>
    <w:p>
      <w:pPr>
        <w:numPr>
          <w:ilvl w:val="0"/>
          <w:numId w:val="1005"/>
        </w:numPr>
        <w:pStyle w:val="Compact"/>
      </w:pPr>
      <w:r>
        <w:rPr>
          <w:bCs/>
          <w:b/>
        </w:rPr>
        <w:t xml:space="preserve">Market Penetration Rate:</w:t>
      </w:r>
      <w:r>
        <w:t xml:space="preserve"> </w:t>
      </w:r>
      <w:r>
        <w:t xml:space="preserve">16.3% in target higher education segment</w:t>
      </w:r>
    </w:p>
    <w:p>
      <w:pPr>
        <w:numPr>
          <w:ilvl w:val="0"/>
          <w:numId w:val="1005"/>
        </w:numPr>
        <w:pStyle w:val="Compact"/>
      </w:pPr>
      <w:r>
        <w:rPr>
          <w:bCs/>
          <w:b/>
        </w:rPr>
        <w:t xml:space="preserve">Dutch Customer Satisfaction (CSAT):</w:t>
      </w:r>
      <w:r>
        <w:t xml:space="preserve"> </w:t>
      </w:r>
      <w:r>
        <w:t xml:space="preserve">94.7/100 (exceeding industry benchmark of 82)</w:t>
      </w:r>
    </w:p>
    <w:p>
      <w:pPr>
        <w:pStyle w:val="FirstParagraph"/>
      </w:pPr>
      <w:r>
        <w:rPr>
          <w:iCs/>
          <w:i/>
        </w:rPr>
        <w:t xml:space="preserve">This Sales Report for Professor is exclusively prepared for internal use by EduTech Solutions' Netherlands operations team, with special focus on Amsterdam market dynamics. All data sourced from CRM, financial systems, and Dutch education sector databases.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Netherlands Amsterdam Market Analysis</dc:title>
  <dc:creator/>
  <cp:keywords/>
  <dcterms:created xsi:type="dcterms:W3CDTF">2025-12-13T11:20:52Z</dcterms:created>
  <dcterms:modified xsi:type="dcterms:W3CDTF">2025-12-13T11:20:52Z</dcterms:modified>
</cp:coreProperties>
</file>

<file path=docProps/custom.xml><?xml version="1.0" encoding="utf-8"?>
<Properties xmlns="http://schemas.openxmlformats.org/officeDocument/2006/custom-properties" xmlns:vt="http://schemas.openxmlformats.org/officeDocument/2006/docPropsVTypes"/>
</file>