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Professor</w:t>
      </w:r>
      <w:r>
        <w:t xml:space="preserve"> </w:t>
      </w:r>
      <w:r>
        <w:t xml:space="preserve">Auckland</w:t>
      </w:r>
    </w:p>
    <w:bookmarkStart w:id="31" w:name="Xb60818b311abf16b01e7e976cc206d41a4692bf"/>
    <w:p>
      <w:pPr>
        <w:pStyle w:val="Heading1"/>
      </w:pPr>
      <w:r>
        <w:t xml:space="preserve">Quarterly Sales Report: Professor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Professor Services across New Zealand Auckland during Q3 2023 (July 1 - September 30). As a leading educational technology provider headquartered in Auckland, Professor has consistently delivered exceptional results in the local market, demonstrating strong growth and strategic alignment with tertiary institutions and corporate clients. The report confirms a remarkable 28% year-over-year increase in revenue within New Zealand Auckland, solidifying our position as the region's premier provider of academic excellence solutions. This achievement is particularly significant given the competitive landscape of New Zealand's education sector.</w:t>
      </w:r>
    </w:p>
    <w:p>
      <w:pPr>
        <w:pStyle w:val="BodyText"/>
      </w:pPr>
      <w:r>
        <w:t xml:space="preserve">"Professor Services has become synonymous with innovative educational delivery in New Zealand Auckland, driving measurable outcomes for over 350 institutions and corporations since our establishment here in 2018."</w:t>
      </w:r>
    </w:p>
    <w:bookmarkEnd w:id="20"/>
    <w:bookmarkStart w:id="21" w:name="Xdc0c434a2c0f1457e64e181274e4c194f940dfd"/>
    <w:p>
      <w:pPr>
        <w:pStyle w:val="Heading2"/>
      </w:pPr>
      <w:r>
        <w:t xml:space="preserve">Performance Metrics: New Zealand Auckland Market</w:t>
      </w:r>
    </w:p>
    <w:p>
      <w:pPr>
        <w:pStyle w:val="FirstParagraph"/>
      </w:pPr>
      <w:r>
        <w:t xml:space="preserve">Key Metric</w:t>
      </w:r>
    </w:p>
    <w:bookmarkEnd w:id="21"/>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 (NZD)</w:t>
      </w:r>
    </w:p>
    <w:p>
      <w:pPr>
        <w:pStyle w:val="BodyText"/>
      </w:pPr>
      <w:r>
        <w:t xml:space="preserve">$1,845,700</w:t>
      </w:r>
    </w:p>
    <w:p>
      <w:pPr>
        <w:pStyle w:val="BodyText"/>
      </w:pPr>
      <w:r>
        <w:t xml:space="preserve">$1,442,300</w:t>
      </w:r>
    </w:p>
    <w:p>
      <w:pPr>
        <w:pStyle w:val="BodyText"/>
      </w:pPr>
      <w:r>
        <w:t xml:space="preserve">28.0%</w:t>
      </w:r>
    </w:p>
    <w:p>
      <w:pPr>
        <w:pStyle w:val="BodyText"/>
      </w:pPr>
      <w:r>
        <w:t xml:space="preserve">New Client Acquisition</w:t>
      </w:r>
    </w:p>
    <w:p>
      <w:pPr>
        <w:pStyle w:val="BodyText"/>
      </w:pPr>
      <w:r>
        <w:t xml:space="preserve">47</w:t>
      </w:r>
    </w:p>
    <w:p>
      <w:pPr>
        <w:pStyle w:val="BodyText"/>
      </w:pPr>
      <w:r>
        <w:t xml:space="preserve">31</w:t>
      </w:r>
    </w:p>
    <w:p>
      <w:pPr>
        <w:pStyle w:val="BodyText"/>
      </w:pPr>
      <w:r>
        <w:t xml:space="preserve">51.6%</w:t>
      </w:r>
    </w:p>
    <w:p>
      <w:pPr>
        <w:pStyle w:val="BodyText"/>
      </w:pPr>
      <w:r>
        <w:t xml:space="preserve">Product Line Performance (Auckland)</w:t>
      </w:r>
    </w:p>
    <w:p>
      <w:pPr>
        <w:pStyle w:val="BodyText"/>
      </w:pPr>
      <w:r>
        <w:br/>
      </w:r>
    </w:p>
    <w:bookmarkStart w:id="22" w:name="key-product-performance"/>
    <w:p>
      <w:pPr>
        <w:pStyle w:val="Heading3"/>
      </w:pPr>
      <w:r>
        <w:t xml:space="preserve">Key Product Performance</w:t>
      </w:r>
    </w:p>
    <w:p>
      <w:pPr>
        <w:pStyle w:val="FirstParagraph"/>
      </w:pPr>
      <w:r>
        <w:t xml:space="preserve">The Professor Digital Learning Platform demonstrated exceptional traction in New Zealand Auckland, capturing 68% of total revenue. Our flagship "Professor AI Tutor" solution saw a 42% increase in enterprise contracts from Auckland-based universities and corporate training departments. The "Professor Leadership Development Suite" secured significant contracts with major Auckland employers including Air New Zealand, ASB Bank, and the University of Auckland's Business School.</w:t>
      </w:r>
    </w:p>
    <w:p>
      <w:pPr>
        <w:pStyle w:val="BodyText"/>
      </w:pPr>
      <w:r>
        <w:t xml:space="preserve">"The strategic partnership with AUT University (Auckland University of Technology) has been pivotal in our New Zealand Auckland market dominance, enabling us to deliver tailored solutions that meet regional educational priorities."</w:t>
      </w:r>
    </w:p>
    <w:bookmarkEnd w:id="22"/>
    <w:bookmarkStart w:id="24" w:name="X77ef2eac1be9733a4ee4ad89994a89362636d89"/>
    <w:p>
      <w:pPr>
        <w:pStyle w:val="Heading2"/>
      </w:pPr>
      <w:r>
        <w:t xml:space="preserve">Market Analysis: Why Professor Dominates Auckland</w:t>
      </w:r>
    </w:p>
    <w:p>
      <w:pPr>
        <w:pStyle w:val="FirstParagraph"/>
      </w:pPr>
      <w:r>
        <w:t xml:space="preserve">New Zealand Auckland's unique educational ecosystem has been instrumental in Professor's success. The city's concentration of tertiary institutions (University of Auckland, AUT, Unitec) and corporate hubs creates a perfect environment for our scalable solutions. Our localized approach—developing content aligned with the New Zealand Curriculum Framework and incorporating Māori cultural perspectives—has resonated deeply with Auckland stakeholders.</w:t>
      </w:r>
    </w:p>
    <w:bookmarkStart w:id="23" w:name="competitive-landscape"/>
    <w:p>
      <w:pPr>
        <w:pStyle w:val="Heading3"/>
      </w:pPr>
      <w:r>
        <w:t xml:space="preserve">Competitive Landscape</w:t>
      </w:r>
    </w:p>
    <w:p>
      <w:pPr>
        <w:pStyle w:val="FirstParagraph"/>
      </w:pPr>
      <w:r>
        <w:t xml:space="preserve">While competitors like EduTech NZ and LearningCloud operate in the region, Professor differentiates through:</w:t>
      </w:r>
    </w:p>
    <w:p>
      <w:pPr>
        <w:numPr>
          <w:ilvl w:val="0"/>
          <w:numId w:val="1001"/>
        </w:numPr>
        <w:pStyle w:val="Compact"/>
      </w:pPr>
      <w:r>
        <w:rPr>
          <w:bCs/>
          <w:b/>
        </w:rPr>
        <w:t xml:space="preserve">Cultural Intelligence:</w:t>
      </w:r>
      <w:r>
        <w:t xml:space="preserve"> </w:t>
      </w:r>
      <w:r>
        <w:t xml:space="preserve">Our Auckland-based team of educators incorporates Te Reo Māori concepts and local case studies</w:t>
      </w:r>
    </w:p>
    <w:p>
      <w:pPr>
        <w:numPr>
          <w:ilvl w:val="0"/>
          <w:numId w:val="1001"/>
        </w:numPr>
        <w:pStyle w:val="Compact"/>
      </w:pPr>
      <w:r>
        <w:rPr>
          <w:bCs/>
          <w:b/>
        </w:rPr>
        <w:t xml:space="preserve">Regulatory Alignment:</w:t>
      </w:r>
      <w:r>
        <w:t xml:space="preserve"> </w:t>
      </w:r>
      <w:r>
        <w:t xml:space="preserve">Full compliance with NZQA (New Zealand Qualifications Authority) standards</w:t>
      </w:r>
    </w:p>
    <w:p>
      <w:pPr>
        <w:numPr>
          <w:ilvl w:val="0"/>
          <w:numId w:val="1001"/>
        </w:numPr>
        <w:pStyle w:val="Compact"/>
      </w:pPr>
      <w:r>
        <w:rPr>
          <w:bCs/>
          <w:b/>
        </w:rPr>
        <w:t xml:space="preserve">Hyper-Local Support:</w:t>
      </w:r>
      <w:r>
        <w:t xml:space="preserve"> </w:t>
      </w:r>
      <w:r>
        <w:t xml:space="preserve">Dedicated Auckland office providing same-day technical support in English and Māori</w:t>
      </w:r>
    </w:p>
    <w:p>
      <w:pPr>
        <w:pStyle w:val="FirstParagraph"/>
      </w:pPr>
      <w:r>
        <w:t xml:space="preserve">"Professor's commitment to the New Zealand Auckland community extends beyond sales—we've donated over $150,000 in educational resources to disadvantaged schools across Manukau and North Shore this year."</w:t>
      </w:r>
    </w:p>
    <w:bookmarkEnd w:id="23"/>
    <w:bookmarkEnd w:id="24"/>
    <w:bookmarkStart w:id="27" w:name="challenges-strategic-responses"/>
    <w:p>
      <w:pPr>
        <w:pStyle w:val="Heading2"/>
      </w:pPr>
      <w:r>
        <w:t xml:space="preserve">Challenges &amp; Strategic Responses</w:t>
      </w:r>
    </w:p>
    <w:p>
      <w:pPr>
        <w:pStyle w:val="FirstParagraph"/>
      </w:pPr>
      <w:r>
        <w:t xml:space="preserve">Despite strong performance, Auckland's market presented unique challenges requiring agile solutions:</w:t>
      </w:r>
    </w:p>
    <w:bookmarkStart w:id="25" w:name="challenge-1-post-pandemic-demand-shift"/>
    <w:p>
      <w:pPr>
        <w:pStyle w:val="Heading3"/>
      </w:pPr>
      <w:r>
        <w:t xml:space="preserve">Challenge 1: Post-Pandemic Demand Shift</w:t>
      </w:r>
    </w:p>
    <w:p>
      <w:pPr>
        <w:pStyle w:val="FirstParagraph"/>
      </w:pPr>
      <w:r>
        <w:rPr>
          <w:iCs/>
          <w:i/>
        </w:rPr>
        <w:t xml:space="preserve">Issue:</w:t>
      </w:r>
      <w:r>
        <w:t xml:space="preserve"> </w:t>
      </w:r>
      <w:r>
        <w:t xml:space="preserve">Educational institutions initially reduced digital budgets after pandemic-related spending surges.</w:t>
      </w:r>
    </w:p>
    <w:p>
      <w:pPr>
        <w:pStyle w:val="BodyText"/>
      </w:pPr>
      <w:r>
        <w:rPr>
          <w:iCs/>
          <w:i/>
        </w:rPr>
        <w:t xml:space="preserve">Action:</w:t>
      </w:r>
      <w:r>
        <w:t xml:space="preserve"> </w:t>
      </w:r>
      <w:r>
        <w:t xml:space="preserve">Professor pivoted to offering "Auckland Recovery Packages" with flexible payment terms, resulting in 17 new institutional contracts within two months.</w:t>
      </w:r>
    </w:p>
    <w:bookmarkEnd w:id="25"/>
    <w:bookmarkStart w:id="26" w:name="challenge-2-data-privacy-compliance"/>
    <w:p>
      <w:pPr>
        <w:pStyle w:val="Heading3"/>
      </w:pPr>
      <w:r>
        <w:t xml:space="preserve">Challenge 2: Data Privacy Compliance</w:t>
      </w:r>
    </w:p>
    <w:p>
      <w:pPr>
        <w:pStyle w:val="FirstParagraph"/>
      </w:pPr>
      <w:r>
        <w:rPr>
          <w:iCs/>
          <w:i/>
        </w:rPr>
        <w:t xml:space="preserve">Issue:</w:t>
      </w:r>
      <w:r>
        <w:t xml:space="preserve"> </w:t>
      </w:r>
      <w:r>
        <w:t xml:space="preserve">Strict New Zealand Privacy Act amendments required platform updates.</w:t>
      </w:r>
    </w:p>
    <w:p>
      <w:pPr>
        <w:pStyle w:val="BodyText"/>
      </w:pPr>
      <w:r>
        <w:rPr>
          <w:iCs/>
          <w:i/>
        </w:rPr>
        <w:t xml:space="preserve">Action:</w:t>
      </w:r>
      <w:r>
        <w:t xml:space="preserve"> </w:t>
      </w:r>
      <w:r>
        <w:t xml:space="preserve">Our Auckland development team completed GDPR/NZ privacy compliance ahead of schedule, positioning Professor as a trusted partner for sensitive institutional data.</w:t>
      </w:r>
    </w:p>
    <w:p>
      <w:pPr>
        <w:pStyle w:val="BodyText"/>
      </w:pPr>
      <w:r>
        <w:t xml:space="preserve">"The Professor Sales Team in New Zealand Auckland achieved an unprecedented 92% client retention rate this quarter through proactive relationship management—far exceeding the industry average of 76%."</w:t>
      </w:r>
    </w:p>
    <w:bookmarkEnd w:id="26"/>
    <w:bookmarkEnd w:id="27"/>
    <w:bookmarkStart w:id="29" w:name="Xd43d15c7f2d73e90e610a4fdeaed7054f74c6d9"/>
    <w:p>
      <w:pPr>
        <w:pStyle w:val="Heading2"/>
      </w:pPr>
      <w:r>
        <w:t xml:space="preserve">Strategic Growth Areas for New Zealand Auckland</w:t>
      </w:r>
    </w:p>
    <w:p>
      <w:pPr>
        <w:pStyle w:val="FirstParagraph"/>
      </w:pPr>
      <w:r>
        <w:t xml:space="preserve">Based on Q3 insights, Professor prioritizes three growth initiatives for Auckland:</w:t>
      </w:r>
    </w:p>
    <w:p>
      <w:pPr>
        <w:numPr>
          <w:ilvl w:val="0"/>
          <w:numId w:val="1002"/>
        </w:numPr>
        <w:pStyle w:val="Compact"/>
      </w:pPr>
      <w:r>
        <w:rPr>
          <w:bCs/>
          <w:b/>
        </w:rPr>
        <w:t xml:space="preserve">Māori Language Integration:</w:t>
      </w:r>
      <w:r>
        <w:t xml:space="preserve"> </w:t>
      </w:r>
      <w:r>
        <w:t xml:space="preserve">Developing advanced Te Reo Māori modules for the Professor Platform to support national language revitalization efforts in Auckland schools</w:t>
      </w:r>
    </w:p>
    <w:p>
      <w:pPr>
        <w:numPr>
          <w:ilvl w:val="0"/>
          <w:numId w:val="1002"/>
        </w:numPr>
        <w:pStyle w:val="Compact"/>
      </w:pPr>
      <w:r>
        <w:rPr>
          <w:bCs/>
          <w:b/>
        </w:rPr>
        <w:t xml:space="preserve">Workforce Development:</w:t>
      </w:r>
      <w:r>
        <w:t xml:space="preserve"> </w:t>
      </w:r>
      <w:r>
        <w:t xml:space="preserve">Partnering with Auckland Council on a $500,000 initiative training 2,500 local workers in digital skills by Q2 2024</w:t>
      </w:r>
    </w:p>
    <w:p>
      <w:pPr>
        <w:numPr>
          <w:ilvl w:val="0"/>
          <w:numId w:val="1002"/>
        </w:numPr>
        <w:pStyle w:val="Compact"/>
      </w:pPr>
      <w:r>
        <w:rPr>
          <w:bCs/>
          <w:b/>
        </w:rPr>
        <w:t xml:space="preserve">Sustainability Focus:</w:t>
      </w:r>
      <w:r>
        <w:t xml:space="preserve"> </w:t>
      </w:r>
      <w:r>
        <w:t xml:space="preserve">Launching "Green Professor" program to help Auckland institutions reduce paper usage by 65% through our digital solutions</w:t>
      </w:r>
    </w:p>
    <w:bookmarkStart w:id="28" w:name="projected-impact-new-zealand-auckland"/>
    <w:p>
      <w:pPr>
        <w:pStyle w:val="Heading3"/>
      </w:pPr>
      <w:r>
        <w:t xml:space="preserve">Projected Impact (New Zealand Auckland)</w:t>
      </w:r>
    </w:p>
    <w:p>
      <w:pPr>
        <w:pStyle w:val="FirstParagraph"/>
      </w:pPr>
      <w:r>
        <w:t xml:space="preserve">These initiatives are forecasted to generate $2.1M in new revenue by Q2 2024, with particular emphasis on serving Auckland's growing Pacific Islander and Asian communities—two demographics showing 37% year-over-year engagement increases.</w:t>
      </w:r>
    </w:p>
    <w:bookmarkEnd w:id="28"/>
    <w:bookmarkEnd w:id="29"/>
    <w:bookmarkStart w:id="30" w:name="X4a8f624b5d85e799eeb2b4e1ac2cf3078f3533a"/>
    <w:p>
      <w:pPr>
        <w:pStyle w:val="Heading2"/>
      </w:pPr>
      <w:r>
        <w:t xml:space="preserve">Conclusion: Professor's Unmatched Position in New Zealand Auckland</w:t>
      </w:r>
    </w:p>
    <w:p>
      <w:pPr>
        <w:pStyle w:val="FirstParagraph"/>
      </w:pPr>
      <w:r>
        <w:t xml:space="preserve">This Sales Report confirms that Professor has become an indispensable partner for educational and corporate advancement throughout New Zealand Auckland. Our 28% revenue growth in the quarter, coupled with market-leading client retention and strategic community investments, demonstrates how our solutions directly address regional priorities while delivering measurable business outcomes.</w:t>
      </w:r>
    </w:p>
    <w:p>
      <w:pPr>
        <w:pStyle w:val="BodyText"/>
      </w:pPr>
      <w:r>
        <w:t xml:space="preserve">As we look ahead to Q4 2023, Professor will intensify its focus on Auckland's unique educational challenges—particularly supporting schools in the rapidly growing areas of Penrose, Manukau, and Papakura. We've already secured commitments from three major Auckland school boards for pilot programs using our culturally responsive teaching modules.</w:t>
      </w:r>
    </w:p>
    <w:p>
      <w:pPr>
        <w:pStyle w:val="BodyText"/>
      </w:pPr>
      <w:r>
        <w:t xml:space="preserve">"In the dynamic New Zealand Auckland market where education innovation is non-negotiable, Professor isn't just a vendor—we're the catalyst for transforming how knowledge is delivered across our communities. This Sales Report reflects not just numbers, but our commitment to making Auckland a global benchmark for educational excellence."</w:t>
      </w:r>
    </w:p>
    <w:bookmarkEnd w:id="30"/>
    <w:p>
      <w:pPr>
        <w:pStyle w:val="BodyText"/>
      </w:pPr>
      <w:r>
        <w:rPr>
          <w:bCs/>
          <w:b/>
        </w:rPr>
        <w:t xml:space="preserve">Prepared By:</w:t>
      </w:r>
      <w:r>
        <w:t xml:space="preserve"> </w:t>
      </w:r>
      <w:r>
        <w:t xml:space="preserve">Auckland Sales Operations Team, Professor Services</w:t>
      </w:r>
    </w:p>
    <w:p>
      <w:pPr>
        <w:pStyle w:val="BodyText"/>
      </w:pPr>
      <w:r>
        <w:rPr>
          <w:bCs/>
          <w:b/>
        </w:rPr>
        <w:t xml:space="preserve">Date:</w:t>
      </w:r>
      <w:r>
        <w:t xml:space="preserve"> </w:t>
      </w:r>
      <w:r>
        <w:t xml:space="preserve">October 15, 2023</w:t>
      </w:r>
    </w:p>
    <w:p>
      <w:pPr>
        <w:pStyle w:val="BodyText"/>
      </w:pPr>
      <w:r>
        <w:rPr>
          <w:iCs/>
          <w:i/>
        </w:rPr>
        <w:t xml:space="preserve">This official Sales Report is filed with the New Zealand Commerce Commission and available for review by all stakeholders in New Zealand Auckland.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Professor Auckland</dc:title>
  <dc:creator/>
  <dc:language>en</dc:language>
  <cp:keywords/>
  <dcterms:created xsi:type="dcterms:W3CDTF">2026-07-24T18:05:23Z</dcterms:created>
  <dcterms:modified xsi:type="dcterms:W3CDTF">2026-07-24T18:05:23Z</dcterms:modified>
</cp:coreProperties>
</file>

<file path=docProps/custom.xml><?xml version="1.0" encoding="utf-8"?>
<Properties xmlns="http://schemas.openxmlformats.org/officeDocument/2006/custom-properties" xmlns:vt="http://schemas.openxmlformats.org/officeDocument/2006/docPropsVTypes"/>
</file>