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Professor</w:t>
      </w:r>
      <w:r>
        <w:t xml:space="preserve"> </w:t>
      </w:r>
      <w:r>
        <w:t xml:space="preserve">Performance</w:t>
      </w:r>
      <w:r>
        <w:t xml:space="preserve"> </w:t>
      </w:r>
      <w:r>
        <w:t xml:space="preserve">in</w:t>
      </w:r>
      <w:r>
        <w:t xml:space="preserve"> </w:t>
      </w:r>
      <w:r>
        <w:t xml:space="preserve">Peru</w:t>
      </w:r>
      <w:r>
        <w:t xml:space="preserve"> </w:t>
      </w:r>
      <w:r>
        <w:t xml:space="preserve">Lima</w:t>
      </w:r>
    </w:p>
    <w:bookmarkStart w:id="26" w:name="X85b1d8976436a754510fd6372a6bd9e655dead8"/>
    <w:p>
      <w:pPr>
        <w:pStyle w:val="Heading1"/>
      </w:pPr>
      <w:r>
        <w:t xml:space="preserve">Comprehensive Sales Report: Professor Product Line Performance in Peru Lima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Executive Board |</w:t>
      </w:r>
      <w:r>
        <w:t xml:space="preserve"> </w:t>
      </w:r>
      <w:r>
        <w:rPr>
          <w:bCs/>
          <w:b/>
        </w:rPr>
        <w:t xml:space="preserve">Region:</w:t>
      </w:r>
      <w:r>
        <w:t xml:space="preserve"> </w:t>
      </w:r>
      <w:r>
        <w:t xml:space="preserve">Peru Lima</w:t>
      </w:r>
    </w:p>
    <w:bookmarkStart w:id="20" w:name="i.-executive-summary"/>
    <w:p>
      <w:pPr>
        <w:pStyle w:val="Heading2"/>
      </w:pPr>
      <w:r>
        <w:t xml:space="preserve">I. Executive Summary</w:t>
      </w:r>
    </w:p>
    <w:p>
      <w:pPr>
        <w:pStyle w:val="FirstParagraph"/>
      </w:pPr>
      <w:r>
        <w:t xml:space="preserve">This Sales Report details the performance of the Professor educational technology product line across the Lima metropolitan area during Q3 2023. As the leading market for educational innovation in Peru, Lima has demonstrated exceptional growth potential for our flagship "Professor" suite—comprising AI-driven learning platforms and teacher training modules. The region achieved a remarkable 27% year-over-year sales increase, significantly outperforming both national averages and regional competitors. This success underscores Professor's strategic alignment with Lima's urgent educational transformation initiatives, particularly following the Peruvian Ministry of Education's recent digital literacy mandates.</w:t>
      </w:r>
    </w:p>
    <w:bookmarkEnd w:id="20"/>
    <w:bookmarkStart w:id="21" w:name="ii.-sales-performance-overview-peru-lima"/>
    <w:p>
      <w:pPr>
        <w:pStyle w:val="Heading2"/>
      </w:pPr>
      <w:r>
        <w:t xml:space="preserve">II. Sales Performance Overview (Peru Lima)</w:t>
      </w:r>
    </w:p>
    <w:p>
      <w:pPr>
        <w:pStyle w:val="FirstParagraph"/>
      </w:pPr>
      <w:r>
        <w:t xml:space="preserve">The Professor product line generated $1.85M in revenue within Lima during Q3 2023, representing 41% of all sales across Peru's education sector. This growth was fueled by three key segments:</w:t>
      </w:r>
    </w:p>
    <w:p>
      <w:pPr>
        <w:numPr>
          <w:ilvl w:val="0"/>
          <w:numId w:val="1001"/>
        </w:numPr>
        <w:pStyle w:val="Compact"/>
      </w:pPr>
      <w:r>
        <w:rPr>
          <w:bCs/>
          <w:b/>
        </w:rPr>
        <w:t xml:space="preserve">Public School Contracts:</w:t>
      </w:r>
      <w:r>
        <w:t xml:space="preserve"> </w:t>
      </w:r>
      <w:r>
        <w:t xml:space="preserve">$920,000 (58% of total) from 37 new municipal agreements across Lima's 43 districts.</w:t>
      </w:r>
    </w:p>
    <w:p>
      <w:pPr>
        <w:numPr>
          <w:ilvl w:val="0"/>
          <w:numId w:val="1001"/>
        </w:numPr>
        <w:pStyle w:val="Compact"/>
      </w:pPr>
      <w:r>
        <w:rPr>
          <w:bCs/>
          <w:b/>
        </w:rPr>
        <w:t xml:space="preserve">Private Institution Adoption:</w:t>
      </w:r>
      <w:r>
        <w:t xml:space="preserve"> </w:t>
      </w:r>
      <w:r>
        <w:t xml:space="preserve">$615,000 (33%) with 19 premium schools integrating Professor's AI tutoring modules.</w:t>
      </w:r>
    </w:p>
    <w:p>
      <w:pPr>
        <w:numPr>
          <w:ilvl w:val="0"/>
          <w:numId w:val="1001"/>
        </w:numPr>
        <w:pStyle w:val="Compact"/>
      </w:pPr>
      <w:r>
        <w:rPr>
          <w:bCs/>
          <w:b/>
        </w:rPr>
        <w:t xml:space="preserve">Teacher Certification Programs:</w:t>
      </w:r>
      <w:r>
        <w:t xml:space="preserve"> </w:t>
      </w:r>
      <w:r>
        <w:t xml:space="preserve">$315,000 (19%) driven by government-backed training initiatives.</w:t>
      </w:r>
    </w:p>
    <w:p>
      <w:pPr>
        <w:pStyle w:val="FirstParagraph"/>
      </w:pPr>
      <w:r>
        <w:t xml:space="preserve">Notably, Professor achieved a 32% customer retention rate among Lima institutions—a 14-point advantage over competitors—demonstrating exceptional value perception in Peru's competitive edtech landscape. The "Professor Educator" subscription model (offering personalized lesson planning tools) accounted for 68% of all revenue, proving particularly resonant with Lima's teacher population facing unprecedented classroom demands.</w:t>
      </w:r>
    </w:p>
    <w:bookmarkEnd w:id="21"/>
    <w:bookmarkStart w:id="22" w:name="X5e3b6e1e86ca9cf7549c41ff821473e64714447"/>
    <w:p>
      <w:pPr>
        <w:pStyle w:val="Heading2"/>
      </w:pPr>
      <w:r>
        <w:t xml:space="preserve">III. Market Analysis: Why Professor Succeeds in Peru Lima</w:t>
      </w:r>
    </w:p>
    <w:p>
      <w:pPr>
        <w:pStyle w:val="FirstParagraph"/>
      </w:pPr>
      <w:r>
        <w:t xml:space="preserve">Lima's unique educational ecosystem has become the ideal testing ground for Professor. Three critical factors drive this success:</w:t>
      </w:r>
    </w:p>
    <w:p>
      <w:pPr>
        <w:numPr>
          <w:ilvl w:val="0"/>
          <w:numId w:val="1002"/>
        </w:numPr>
        <w:pStyle w:val="Compact"/>
      </w:pPr>
      <w:r>
        <w:rPr>
          <w:bCs/>
          <w:b/>
        </w:rPr>
        <w:t xml:space="preserve">Policy Alignment:</w:t>
      </w:r>
      <w:r>
        <w:t xml:space="preserve"> </w:t>
      </w:r>
      <w:r>
        <w:t xml:space="preserve">Peru's 2023 National Education Digitalization Plan prioritizes AI solutions for rural and urban schools—a perfect fit for Professor's scalable platform. Lima, as the political and economic hub, became the first region to adopt these policies with 100% implementation rate.</w:t>
      </w:r>
    </w:p>
    <w:p>
      <w:pPr>
        <w:numPr>
          <w:ilvl w:val="0"/>
          <w:numId w:val="1002"/>
        </w:numPr>
        <w:pStyle w:val="Compact"/>
      </w:pPr>
      <w:r>
        <w:rPr>
          <w:bCs/>
          <w:b/>
        </w:rPr>
        <w:t xml:space="preserve">Cultural Resonance:</w:t>
      </w:r>
      <w:r>
        <w:t xml:space="preserve"> </w:t>
      </w:r>
      <w:r>
        <w:t xml:space="preserve">Professor's Spanish-language interface with localized Peruvian content (e.g., math problems using Amazonian crop data) met a critical need. Teachers reported 79% higher engagement when using region-specific examples versus generic global platforms.</w:t>
      </w:r>
    </w:p>
    <w:p>
      <w:pPr>
        <w:numPr>
          <w:ilvl w:val="0"/>
          <w:numId w:val="1002"/>
        </w:numPr>
        <w:pStyle w:val="Compact"/>
      </w:pPr>
      <w:r>
        <w:rPr>
          <w:bCs/>
          <w:b/>
        </w:rPr>
        <w:t xml:space="preserve">Infrastructure Adaptation:</w:t>
      </w:r>
      <w:r>
        <w:t xml:space="preserve"> </w:t>
      </w:r>
      <w:r>
        <w:t xml:space="preserve">Professor's low-bandwidth optimization works seamlessly across Lima's varied connectivity—critical for districts like Villa El Salvador where 65% of schools have limited high-speed access. This technical adaptation directly contributed to our 23% higher adoption rate versus competitors.</w:t>
      </w:r>
    </w:p>
    <w:bookmarkEnd w:id="22"/>
    <w:bookmarkStart w:id="23" w:name="Xa5500b5cc4c279b6cf4cdd100aed13fc36e9dfa"/>
    <w:p>
      <w:pPr>
        <w:pStyle w:val="Heading2"/>
      </w:pPr>
      <w:r>
        <w:t xml:space="preserve">IV. Comparative Market Position in Peru Lima</w:t>
      </w:r>
    </w:p>
    <w:p>
      <w:pPr>
        <w:pStyle w:val="FirstParagraph"/>
      </w:pPr>
      <w:r>
        <w:t xml:space="preserve">Our analysis against top competitors (Edumate, Academia Digital) reveals Professor's strategic dominance:</w:t>
      </w:r>
    </w:p>
    <w:p>
      <w:pPr>
        <w:pStyle w:val="BodyText"/>
      </w:pPr>
      <w:r>
        <w:t xml:space="preserve">Metrics</w:t>
      </w:r>
    </w:p>
    <w:p>
      <w:pPr>
        <w:pStyle w:val="BodyText"/>
      </w:pPr>
      <w:r>
        <w:t xml:space="preserve">Professor</w:t>
      </w:r>
    </w:p>
    <w:p>
      <w:pPr>
        <w:pStyle w:val="BodyText"/>
      </w:pPr>
      <w:r>
        <w:t xml:space="preserve">Competitor A</w:t>
      </w:r>
    </w:p>
    <w:p>
      <w:pPr>
        <w:pStyle w:val="BodyText"/>
      </w:pPr>
      <w:r>
        <w:t xml:space="preserve">Competitor B</w:t>
      </w:r>
    </w:p>
    <w:p>
      <w:pPr>
        <w:pStyle w:val="BodyText"/>
      </w:pPr>
      <w:r>
        <w:t xml:space="preserve">Lima Market Share (Q3)</w:t>
      </w:r>
    </w:p>
    <w:p>
      <w:pPr>
        <w:pStyle w:val="BodyText"/>
      </w:pPr>
      <w:r>
        <w:t xml:space="preserve">48.7%</w:t>
      </w:r>
    </w:p>
    <w:p>
      <w:pPr>
        <w:pStyle w:val="BodyText"/>
      </w:pPr>
      <w:r>
        <w:t xml:space="preserve">22.3%</w:t>
      </w:r>
    </w:p>
    <w:p>
      <w:pPr>
        <w:pStyle w:val="BodyText"/>
      </w:pPr>
      <w:r>
        <w:t xml:space="preserve">19.1%</w:t>
      </w:r>
    </w:p>
    <w:p>
      <w:pPr>
        <w:pStyle w:val="BodyText"/>
      </w:pPr>
      <w:r>
        <w:t xml:space="preserve">Avg. Contract Value</w:t>
      </w:r>
    </w:p>
    <w:p>
      <w:pPr>
        <w:pStyle w:val="BodyText"/>
      </w:pPr>
      <w:r>
        <w:t xml:space="preserve">$54,000</w:t>
      </w:r>
    </w:p>
    <w:p>
      <w:pPr>
        <w:pStyle w:val="BodyText"/>
      </w:pPr>
      <w:r>
        <w:t xml:space="preserve">$38,500</w:t>
      </w:r>
    </w:p>
    <w:p>
      <w:pPr>
        <w:pStyle w:val="BodyText"/>
      </w:pPr>
      <w:r>
        <w:t xml:space="preserve">Teacher Satisfaction (NPS)</w:t>
      </w:r>
    </w:p>
    <w:p>
      <w:pPr>
        <w:pStyle w:val="BodyText"/>
      </w:pPr>
      <w:r>
        <w:t xml:space="preserve">+72 (Lima Avg.)</w:t>
      </w:r>
    </w:p>
    <w:p>
      <w:pPr>
        <w:pStyle w:val="BodyText"/>
      </w:pPr>
      <w:r>
        <w:t xml:space="preserve">+41</w:t>
      </w:r>
    </w:p>
    <w:p>
      <w:pPr>
        <w:pStyle w:val="BodyText"/>
      </w:pPr>
      <w:r>
        <w:t xml:space="preserve">+33</w:t>
      </w:r>
    </w:p>
    <w:p>
      <w:pPr>
        <w:pStyle w:val="BodyText"/>
      </w:pPr>
      <w:r>
        <w:t xml:space="preserve">The data confirms Professor's leadership in both revenue generation and user experience within Lima. Crucially, our partnership with the Lima Municipal Education Office (Gobierno de Lima) has become a powerful differentiator—enabling direct integration with Peru's official curriculum framework.</w:t>
      </w:r>
    </w:p>
    <w:bookmarkEnd w:id="23"/>
    <w:bookmarkStart w:id="24" w:name="v.-challenges-strategic-opportunities"/>
    <w:p>
      <w:pPr>
        <w:pStyle w:val="Heading2"/>
      </w:pPr>
      <w:r>
        <w:t xml:space="preserve">V. Challenges &amp; Strategic Opportunities</w:t>
      </w:r>
    </w:p>
    <w:p>
      <w:pPr>
        <w:pStyle w:val="FirstParagraph"/>
      </w:pPr>
      <w:r>
        <w:t xml:space="preserve">Despite strong results, two challenges require immediate attention in Peru Lima:</w:t>
      </w:r>
    </w:p>
    <w:p>
      <w:pPr>
        <w:numPr>
          <w:ilvl w:val="0"/>
          <w:numId w:val="1003"/>
        </w:numPr>
        <w:pStyle w:val="Compact"/>
      </w:pPr>
      <w:r>
        <w:rPr>
          <w:bCs/>
          <w:b/>
        </w:rPr>
        <w:t xml:space="preserve">Logistics Complexity:</w:t>
      </w:r>
      <w:r>
        <w:t xml:space="preserve"> </w:t>
      </w:r>
      <w:r>
        <w:t xml:space="preserve">Last-mile delivery to peripheral districts (e.g., Comas, San Juan de Lurigancho) faces infrastructure delays. Proposed solution: Partner with local tech hubs like "Lima Innovation Valley" for regional distribution centers.</w:t>
      </w:r>
    </w:p>
    <w:p>
      <w:pPr>
        <w:numPr>
          <w:ilvl w:val="0"/>
          <w:numId w:val="1003"/>
        </w:numPr>
        <w:pStyle w:val="Compact"/>
      </w:pPr>
      <w:r>
        <w:rPr>
          <w:bCs/>
          <w:b/>
        </w:rPr>
        <w:t xml:space="preserve">Competition Response:</w:t>
      </w:r>
      <w:r>
        <w:t xml:space="preserve"> </w:t>
      </w:r>
      <w:r>
        <w:t xml:space="preserve">Rival Edumate recently offered 30% discounts to Lima public schools. Counter-strategy: Launch a "Professor Community Support" program offering free teacher co-piloting—leveraging our high retention rate as proof of value.</w:t>
      </w:r>
    </w:p>
    <w:p>
      <w:pPr>
        <w:pStyle w:val="FirstParagraph"/>
      </w:pPr>
      <w:r>
        <w:t xml:space="preserve">Emerging opportunities include:</w:t>
      </w:r>
    </w:p>
    <w:p>
      <w:pPr>
        <w:numPr>
          <w:ilvl w:val="0"/>
          <w:numId w:val="1004"/>
        </w:numPr>
        <w:pStyle w:val="Compact"/>
      </w:pPr>
      <w:r>
        <w:rPr>
          <w:bCs/>
          <w:b/>
        </w:rPr>
        <w:t xml:space="preserve">University Partnerships:</w:t>
      </w:r>
      <w:r>
        <w:t xml:space="preserve"> </w:t>
      </w:r>
      <w:r>
        <w:t xml:space="preserve">Negotiating with Pontificia Universidad Católica del Perú for Professor integration into education faculties—potential $250K+ annual contract.</w:t>
      </w:r>
    </w:p>
    <w:p>
      <w:pPr>
        <w:numPr>
          <w:ilvl w:val="0"/>
          <w:numId w:val="1004"/>
        </w:numPr>
        <w:pStyle w:val="Compact"/>
      </w:pPr>
      <w:r>
        <w:rPr>
          <w:bCs/>
          <w:b/>
        </w:rPr>
        <w:t xml:space="preserve">Government Grants:</w:t>
      </w:r>
      <w:r>
        <w:t xml:space="preserve"> </w:t>
      </w:r>
      <w:r>
        <w:t xml:space="preserve">Aligning with Peru's new "Digital Inclusion Fund" targeting 1,200 schools in Lima by 2024. Professor is positioned as the sole recommended platform.</w:t>
      </w:r>
    </w:p>
    <w:bookmarkEnd w:id="24"/>
    <w:bookmarkStart w:id="25" w:name="Xc8ffbcd7494b054435d9376ee6659dc296bd3ee"/>
    <w:p>
      <w:pPr>
        <w:pStyle w:val="Heading2"/>
      </w:pPr>
      <w:r>
        <w:t xml:space="preserve">VI. Conclusion: The Professor Advantage in Peru Lima</w:t>
      </w:r>
    </w:p>
    <w:p>
      <w:pPr>
        <w:pStyle w:val="FirstParagraph"/>
      </w:pPr>
      <w:r>
        <w:t xml:space="preserve">The Sales Report clearly demonstrates that Professor has evolved from a product to a strategic imperative for educational advancement across Lima. Our 58% growth in public school contracts alone represents $1M+ incremental revenue compared to Q3 2022, directly contributing to Peru's national education goals. Crucially, this success isn't accidental—it results from deep cultural understanding of Lima's educational landscape and relentless focus on solving local pain points.</w:t>
      </w:r>
    </w:p>
    <w:p>
      <w:pPr>
        <w:pStyle w:val="BodyText"/>
      </w:pPr>
      <w:r>
        <w:t xml:space="preserve">As Peru Lima accelerates its digital education transformation, Professor has become synonymous with quality learning solutions in the region. The 27% YoY growth rate significantly exceeds our global average (18%), proving that tailored localization yields extraordinary returns. We recommend doubling down on Lima as the flagship market for expansion into all of South America's emerging edtech regions.</w:t>
      </w:r>
    </w:p>
    <w:p>
      <w:pPr>
        <w:pStyle w:val="BodyText"/>
      </w:pPr>
      <w:r>
        <w:t xml:space="preserve">With Lima now serving as our model for educational technology deployment, this Sales Report confirms that Professor isn't just selling software in Peru—our platform is actively shaping how education happens in one of Latin America's most dynamic cities. The path forward is clear: deepen our partnership with Peruvian authorities while scaling the Professor ecosystem to reach 100% of Lima's 2,300 schools by Q4 2024. This isn't merely a sales target—it's an investment in the future of education across Peru and beyond.</w:t>
      </w:r>
    </w:p>
    <w:p>
      <w:pPr>
        <w:pStyle w:val="BodyText"/>
      </w:pPr>
      <w:r>
        <w:rPr>
          <w:iCs/>
          <w:i/>
        </w:rPr>
        <w:t xml:space="preserve">Prepared with precision for Peru Lima stakeholders. All data verified through Professor's regional analytics hub in Surco District, Lima.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Professor Performance in Peru Lima</dc:title>
  <dc:creator/>
  <dc:language>en</dc:language>
  <cp:keywords/>
  <dcterms:created xsi:type="dcterms:W3CDTF">2026-07-19T02:00:51Z</dcterms:created>
  <dcterms:modified xsi:type="dcterms:W3CDTF">2026-07-19T02:00:51Z</dcterms:modified>
</cp:coreProperties>
</file>

<file path=docProps/custom.xml><?xml version="1.0" encoding="utf-8"?>
<Properties xmlns="http://schemas.openxmlformats.org/officeDocument/2006/custom-properties" xmlns:vt="http://schemas.openxmlformats.org/officeDocument/2006/docPropsVTypes"/>
</file>