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p>
    <w:bookmarkStart w:id="29" w:name="Xd5d48aa15aa3086cb264d5e3ba6730c021442af"/>
    <w:p>
      <w:pPr>
        <w:pStyle w:val="Heading1"/>
      </w:pPr>
      <w:r>
        <w:t xml:space="preserve">SALES REPORT FOR PROFESSOR EDUCATIONAL SOLUTIONS IN PHILIPPINES MANILA</w:t>
      </w:r>
    </w:p>
    <w:p>
      <w:pPr>
        <w:pStyle w:val="FirstParagraph"/>
      </w:pPr>
      <w:r>
        <w:t xml:space="preserve">Quarterly Performance Analysis | Q3 2023 (July-September) | Prepared for Manila Regional Management</w:t>
      </w:r>
    </w:p>
    <w:bookmarkStart w:id="20" w:name="executive-summary"/>
    <w:p>
      <w:pPr>
        <w:pStyle w:val="Heading2"/>
      </w:pPr>
      <w:r>
        <w:t xml:space="preserve">Executive Summary</w:t>
      </w:r>
    </w:p>
    <w:p>
      <w:pPr>
        <w:pStyle w:val="FirstParagraph"/>
      </w:pPr>
      <w:r>
        <w:t xml:space="preserve">The Professor educational technology platform has achieved remarkable growth in the Philippines Manila market during Q3 2023, demonstrating strong alignment with the Department of Education's digital transformation initiatives. This Sales Report details how Professor's AI-powered learning tools have become indispensable for 78% of surveyed K-12 schools across Metro Manila, driving a 42% year-over-year revenue increase to ₱18.7 million (approximately $340,000 USD). The Manila market has emerged as our largest regional hub in Southeast Asia, accounting for 63% of all Philippine sales.</w:t>
      </w:r>
    </w:p>
    <w:bookmarkEnd w:id="20"/>
    <w:bookmarkStart w:id="21" w:name="Xc48e42740f674578fc7ccff7f2e6a28e6689c43"/>
    <w:p>
      <w:pPr>
        <w:pStyle w:val="Heading2"/>
      </w:pPr>
      <w:r>
        <w:t xml:space="preserve">Market Context: Professor in the Manila Educational Landscape</w:t>
      </w:r>
    </w:p>
    <w:p>
      <w:pPr>
        <w:pStyle w:val="FirstParagraph"/>
      </w:pPr>
      <w:r>
        <w:t xml:space="preserve">Manila's educational ecosystem faces unique challenges including overcrowded classrooms (averaging 45 students per teacher), uneven digital access, and the urgent need for competency-based learning. The Philippine Department of Education's (DepEd) "Digital Learning Continuity Plan" created a perfect market opportunity for Professor, which offers adaptive learning modules aligned with the K-12 curriculum. Our localized content—developed with Filipino educators—addresses Manila-specific needs like regional dialect integration and culturally relevant examples (e.g., using rice farming scenarios for math problems). This strategic localization has been pivotal to our Manila success story.</w:t>
      </w:r>
    </w:p>
    <w:bookmarkEnd w:id="21"/>
    <w:bookmarkStart w:id="24" w:name="sales-performance-breakdown"/>
    <w:p>
      <w:pPr>
        <w:pStyle w:val="Heading2"/>
      </w:pPr>
      <w:r>
        <w:t xml:space="preserve">Sales Performance Breakdown</w:t>
      </w:r>
    </w:p>
    <w:bookmarkStart w:id="22" w:name="revenue-streams"/>
    <w:p>
      <w:pPr>
        <w:pStyle w:val="Heading3"/>
      </w:pPr>
      <w: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Market Share in Manila</w:t>
            </w:r>
          </w:p>
        </w:tc>
      </w:tr>
      <w:tr>
        <w:tc>
          <w:tcPr/>
          <w:p>
            <w:pPr>
              <w:pStyle w:val="Compact"/>
              <w:jc w:val="left"/>
            </w:pPr>
            <w:r>
              <w:t xml:space="preserve">School Licensing (K-12)</w:t>
            </w:r>
          </w:p>
        </w:tc>
        <w:tc>
          <w:tcPr/>
          <w:p>
            <w:pPr>
              <w:pStyle w:val="Compact"/>
              <w:jc w:val="left"/>
            </w:pPr>
            <w:r>
              <w:t xml:space="preserve">₱12,400,000</w:t>
            </w:r>
          </w:p>
        </w:tc>
        <w:tc>
          <w:tcPr/>
          <w:p>
            <w:pPr>
              <w:pStyle w:val="Compact"/>
              <w:jc w:val="left"/>
            </w:pPr>
            <w:r>
              <w:t xml:space="preserve">47%</w:t>
            </w:r>
          </w:p>
        </w:tc>
        <w:tc>
          <w:tcPr/>
          <w:p>
            <w:pPr>
              <w:pStyle w:val="Compact"/>
              <w:jc w:val="left"/>
            </w:pPr>
            <w:r>
              <w:t xml:space="preserve">38% (Top 3 in Manila)</w:t>
            </w:r>
          </w:p>
        </w:tc>
      </w:tr>
      <w:tr>
        <w:tc>
          <w:tcPr/>
          <w:p>
            <w:pPr>
              <w:pStyle w:val="Compact"/>
              <w:jc w:val="left"/>
            </w:pPr>
            <w:r>
              <w:t xml:space="preserve">Teacher Training Workshops</w:t>
            </w:r>
          </w:p>
        </w:tc>
        <w:tc>
          <w:tcPr/>
          <w:p>
            <w:pPr>
              <w:pStyle w:val="Compact"/>
              <w:jc w:val="left"/>
            </w:pPr>
            <w:r>
              <w:t xml:space="preserve">₱2,150,000</w:t>
            </w:r>
          </w:p>
        </w:tc>
        <w:tc>
          <w:tcPr/>
          <w:p>
            <w:pPr>
              <w:pStyle w:val="Compact"/>
              <w:jc w:val="left"/>
            </w:pPr>
            <w:r>
              <w:t xml:space="preserve">29%</w:t>
            </w:r>
          </w:p>
        </w:tc>
        <w:tc>
          <w:tcPr/>
          <w:p>
            <w:pPr>
              <w:pStyle w:val="Compact"/>
              <w:jc w:val="left"/>
            </w:pPr>
            <w:r>
              <w:t xml:space="preserve">61% (Dominant provider)</w:t>
            </w:r>
          </w:p>
        </w:tc>
      </w:tr>
      <w:tr>
        <w:tc>
          <w:tcPr/>
          <w:p>
            <w:pPr>
              <w:pStyle w:val="Compact"/>
              <w:jc w:val="left"/>
            </w:pPr>
            <w:r>
              <w:t xml:space="preserve">Parent Subscription Portal</w:t>
            </w:r>
          </w:p>
        </w:tc>
        <w:tc>
          <w:tcPr/>
          <w:p>
            <w:pPr>
              <w:pStyle w:val="Compact"/>
              <w:jc w:val="left"/>
            </w:pPr>
            <w:r>
              <w:t xml:space="preserve">₱4,150,000</w:t>
            </w:r>
          </w:p>
        </w:tc>
        <w:tc>
          <w:tcPr/>
          <w:p>
            <w:pPr>
              <w:pStyle w:val="Compact"/>
              <w:jc w:val="left"/>
            </w:pPr>
            <w:r>
              <w:t xml:space="preserve">53%</w:t>
            </w:r>
          </w:p>
        </w:tc>
        <w:tc>
          <w:tcPr/>
          <w:p>
            <w:pPr>
              <w:pStyle w:val="Compact"/>
              <w:jc w:val="left"/>
            </w:pPr>
            <w:r>
              <w:t xml:space="preserve">27% (Rapidly growing segment)</w:t>
            </w:r>
          </w:p>
        </w:tc>
      </w:tr>
    </w:tbl>
    <w:bookmarkEnd w:id="22"/>
    <w:bookmarkStart w:id="23" w:name="key-performance-indicators"/>
    <w:p>
      <w:pPr>
        <w:pStyle w:val="Heading3"/>
      </w:pPr>
      <w:r>
        <w:t xml:space="preserve">Key Performance Indicators</w:t>
      </w:r>
    </w:p>
    <w:p>
      <w:pPr>
        <w:numPr>
          <w:ilvl w:val="0"/>
          <w:numId w:val="1001"/>
        </w:numPr>
        <w:pStyle w:val="Compact"/>
      </w:pPr>
      <w:r>
        <w:rPr>
          <w:bCs/>
          <w:b/>
        </w:rPr>
        <w:t xml:space="preserve">Customer Acquisition Cost (CAC):</w:t>
      </w:r>
      <w:r>
        <w:t xml:space="preserve"> </w:t>
      </w:r>
      <w:r>
        <w:t xml:space="preserve">₱1,850 (down 19% YoY through strategic partnerships with Manila-based education NGOs)</w:t>
      </w:r>
    </w:p>
    <w:p>
      <w:pPr>
        <w:numPr>
          <w:ilvl w:val="0"/>
          <w:numId w:val="1001"/>
        </w:numPr>
        <w:pStyle w:val="Compact"/>
      </w:pPr>
      <w:r>
        <w:rPr>
          <w:bCs/>
          <w:b/>
        </w:rPr>
        <w:t xml:space="preserve">Client Retention Rate:</w:t>
      </w:r>
      <w:r>
        <w:t xml:space="preserve"> </w:t>
      </w:r>
      <w:r>
        <w:t xml:space="preserve">87% (exceeding regional average by 24%)</w:t>
      </w:r>
    </w:p>
    <w:p>
      <w:pPr>
        <w:numPr>
          <w:ilvl w:val="0"/>
          <w:numId w:val="1001"/>
        </w:numPr>
        <w:pStyle w:val="Compact"/>
      </w:pPr>
      <w:r>
        <w:rPr>
          <w:bCs/>
          <w:b/>
        </w:rPr>
        <w:t xml:space="preserve">New School Onboardings:</w:t>
      </w:r>
      <w:r>
        <w:t xml:space="preserve"> </w:t>
      </w:r>
      <w:r>
        <w:t xml:space="preserve">375 schools added in Manila (up from 210 in Q2)</w:t>
      </w:r>
    </w:p>
    <w:p>
      <w:pPr>
        <w:numPr>
          <w:ilvl w:val="0"/>
          <w:numId w:val="1001"/>
        </w:numPr>
        <w:pStyle w:val="Compact"/>
      </w:pPr>
      <w:r>
        <w:rPr>
          <w:bCs/>
          <w:b/>
        </w:rPr>
        <w:t xml:space="preserve">Most Popular Module:</w:t>
      </w:r>
      <w:r>
        <w:t xml:space="preserve"> </w:t>
      </w:r>
      <w:r>
        <w:t xml:space="preserve">"Filipino Values Integration" (used by 92% of licensed schools)</w:t>
      </w:r>
    </w:p>
    <w:bookmarkEnd w:id="23"/>
    <w:bookmarkEnd w:id="24"/>
    <w:bookmarkStart w:id="25" w:name="manila-specific-success-drivers"/>
    <w:p>
      <w:pPr>
        <w:pStyle w:val="Heading2"/>
      </w:pPr>
      <w:r>
        <w:t xml:space="preserve">Manila-Specific Success Drivers</w:t>
      </w:r>
    </w:p>
    <w:p>
      <w:pPr>
        <w:pStyle w:val="FirstParagraph"/>
      </w:pPr>
      <w:r>
        <w:t xml:space="preserve">The Professor platform's Manila dominance stems from three critical adaptations:</w:t>
      </w:r>
    </w:p>
    <w:p>
      <w:pPr>
        <w:numPr>
          <w:ilvl w:val="0"/>
          <w:numId w:val="1002"/>
        </w:numPr>
        <w:pStyle w:val="Compact"/>
      </w:pPr>
      <w:r>
        <w:rPr>
          <w:bCs/>
          <w:b/>
        </w:rPr>
        <w:t xml:space="preserve">Hyperlocal Content:</w:t>
      </w:r>
      <w:r>
        <w:t xml:space="preserve"> </w:t>
      </w:r>
      <w:r>
        <w:t xml:space="preserve">All materials translated into Tagalog and Cebuano, with case studies featuring Manila landmarks (e.g., Intramuros history for social studies). This resonated immediately with educators at schools like De La Salle Santiago and Ateneo de Manila.</w:t>
      </w:r>
    </w:p>
    <w:p>
      <w:pPr>
        <w:numPr>
          <w:ilvl w:val="0"/>
          <w:numId w:val="1002"/>
        </w:numPr>
        <w:pStyle w:val="Compact"/>
      </w:pPr>
      <w:r>
        <w:rPr>
          <w:bCs/>
          <w:b/>
        </w:rPr>
        <w:t xml:space="preserve">Power Solution Integration:</w:t>
      </w:r>
      <w:r>
        <w:t xml:space="preserve"> </w:t>
      </w:r>
      <w:r>
        <w:t xml:space="preserve">Recognizing frequent brownouts in Metro Manila, Professor developed offline-capable modules accessible via low-bandwidth USB drives—adopted by 68% of rural-adjacent schools in the city.</w:t>
      </w:r>
    </w:p>
    <w:p>
      <w:pPr>
        <w:numPr>
          <w:ilvl w:val="0"/>
          <w:numId w:val="1002"/>
        </w:numPr>
        <w:pStyle w:val="Compact"/>
      </w:pPr>
      <w:r>
        <w:rPr>
          <w:bCs/>
          <w:b/>
        </w:rPr>
        <w:t xml:space="preserve">Government Alignment:</w:t>
      </w:r>
      <w:r>
        <w:t xml:space="preserve"> </w:t>
      </w:r>
      <w:r>
        <w:t xml:space="preserve">Partnership with DepEd's "MIS" system allowing seamless data integration. This was critical for winning contracts at Manila public schools, where 73% require government-compliant platforms.</w:t>
      </w:r>
    </w:p>
    <w:bookmarkEnd w:id="25"/>
    <w:bookmarkStart w:id="26" w:name="challenges-strategic-response"/>
    <w:p>
      <w:pPr>
        <w:pStyle w:val="Heading2"/>
      </w:pPr>
      <w:r>
        <w:t xml:space="preserve">Challenges &amp; Strategic Response</w:t>
      </w:r>
    </w:p>
    <w:p>
      <w:pPr>
        <w:pStyle w:val="FirstParagraph"/>
      </w:pPr>
      <w:r>
        <w:t xml:space="preserve">Manila's competitive landscape presents unique hurdles:</w:t>
      </w:r>
    </w:p>
    <w:p>
      <w:pPr>
        <w:numPr>
          <w:ilvl w:val="0"/>
          <w:numId w:val="1003"/>
        </w:numPr>
        <w:pStyle w:val="Compact"/>
      </w:pPr>
      <w:r>
        <w:rPr>
          <w:bCs/>
          <w:b/>
        </w:rPr>
        <w:t xml:space="preserve">Price Sensitivity:</w:t>
      </w:r>
      <w:r>
        <w:t xml:space="preserve"> </w:t>
      </w:r>
      <w:r>
        <w:t xml:space="preserve">Manila schools operate on tight budgets (average annual tech budget: ₱45,000/school). Professor addressed this through tiered pricing—basic package at ₱18,500/school/year (vs. competitors' ₱29,700) with optional add-ons.</w:t>
      </w:r>
    </w:p>
    <w:p>
      <w:pPr>
        <w:numPr>
          <w:ilvl w:val="0"/>
          <w:numId w:val="1003"/>
        </w:numPr>
        <w:pStyle w:val="Compact"/>
      </w:pPr>
      <w:r>
        <w:rPr>
          <w:bCs/>
          <w:b/>
        </w:rPr>
        <w:t xml:space="preserve">Infrastructure Gaps:</w:t>
      </w:r>
      <w:r>
        <w:t xml:space="preserve"> </w:t>
      </w:r>
      <w:r>
        <w:t xml:space="preserve">In some Manila public schools (e.g., in Tondo and Sta. Mesa), internet access remains unreliable. Professor deployed a "Solar-Powered Learning Kiosks" initiative in partnership with the Manila LGU, installing 120 offline stations at community centers.</w:t>
      </w:r>
    </w:p>
    <w:p>
      <w:pPr>
        <w:numPr>
          <w:ilvl w:val="0"/>
          <w:numId w:val="1003"/>
        </w:numPr>
        <w:pStyle w:val="Compact"/>
      </w:pPr>
      <w:r>
        <w:rPr>
          <w:bCs/>
          <w:b/>
        </w:rPr>
        <w:t xml:space="preserve">Cultural Adaptation:</w:t>
      </w:r>
      <w:r>
        <w:t xml:space="preserve"> </w:t>
      </w:r>
      <w:r>
        <w:t xml:space="preserve">Initial content featured Western scenarios that confused Filipino students. We rapidly replaced them with localized examples—e.g., replacing "ice cream sales" math problems with "sari-sari store inventory" cases.</w:t>
      </w:r>
    </w:p>
    <w:bookmarkEnd w:id="26"/>
    <w:bookmarkStart w:id="27" w:name="future-strategy-for-manila-growth"/>
    <w:p>
      <w:pPr>
        <w:pStyle w:val="Heading2"/>
      </w:pPr>
      <w:r>
        <w:t xml:space="preserve">Future Strategy for Manila Growth</w:t>
      </w:r>
    </w:p>
    <w:p>
      <w:pPr>
        <w:pStyle w:val="FirstParagraph"/>
      </w:pPr>
      <w:r>
        <w:t xml:space="preserve">Building on Q3 success, our Manila-focused strategy includes:</w:t>
      </w:r>
    </w:p>
    <w:p>
      <w:pPr>
        <w:numPr>
          <w:ilvl w:val="0"/>
          <w:numId w:val="1004"/>
        </w:numPr>
        <w:pStyle w:val="Compact"/>
      </w:pPr>
      <w:r>
        <w:rPr>
          <w:bCs/>
          <w:b/>
        </w:rPr>
        <w:t xml:space="preserve">Expansion into Alternative Learning Systems (ALS):</w:t>
      </w:r>
      <w:r>
        <w:t xml:space="preserve"> </w:t>
      </w:r>
      <w:r>
        <w:t xml:space="preserve">Partnering with Manila's Department of Education to integrate Professor into ALS programs for out-of-school youth, targeting 50,000 new users by Q1 2024.</w:t>
      </w:r>
    </w:p>
    <w:p>
      <w:pPr>
        <w:numPr>
          <w:ilvl w:val="0"/>
          <w:numId w:val="1004"/>
        </w:numPr>
        <w:pStyle w:val="Compact"/>
      </w:pPr>
      <w:r>
        <w:rPr>
          <w:bCs/>
          <w:b/>
        </w:rPr>
        <w:t xml:space="preserve">Metro Manila "Digital Literacy Corridors":</w:t>
      </w:r>
      <w:r>
        <w:t xml:space="preserve"> </w:t>
      </w:r>
      <w:r>
        <w:t xml:space="preserve">Establishing 15 community learning hubs in high-need districts (Quezon City, Mandaluyong) with free Professor access during non-school hours.</w:t>
      </w:r>
    </w:p>
    <w:p>
      <w:pPr>
        <w:numPr>
          <w:ilvl w:val="0"/>
          <w:numId w:val="1004"/>
        </w:numPr>
        <w:pStyle w:val="Compact"/>
      </w:pPr>
      <w:r>
        <w:rPr>
          <w:bCs/>
          <w:b/>
        </w:rPr>
        <w:t xml:space="preserve">Local Talent Development:</w:t>
      </w:r>
      <w:r>
        <w:t xml:space="preserve"> </w:t>
      </w:r>
      <w:r>
        <w:t xml:space="preserve">Launching "Professor Educator Certification" program with De La Salle University Manila to train 200 teachers as platform champions by December 2023.</w:t>
      </w:r>
    </w:p>
    <w:bookmarkEnd w:id="27"/>
    <w:bookmarkStart w:id="28" w:name="X3bf2d2aca0a3c79d9bacd8b2f4c9a472e9a26a4"/>
    <w:p>
      <w:pPr>
        <w:pStyle w:val="Heading2"/>
      </w:pPr>
      <w:r>
        <w:t xml:space="preserve">Conclusion: The Professor Advantage in Manila</w:t>
      </w:r>
    </w:p>
    <w:p>
      <w:pPr>
        <w:pStyle w:val="FirstParagraph"/>
      </w:pPr>
      <w:r>
        <w:t xml:space="preserve">This Sales Report confirms that Professor has transcended being merely an educational tool to become a catalyst for Manila's digital education revolution. The platform's success directly correlates with our commitment to understanding the Philippines' unique pedagogical and infrastructural context—proving that global solutions require hyperlocal execution. As we prepare for Q4, Manila will remain our flagship market, with a target of securing contracts with 500+ schools across all 16 districts of Metro Manila by year-end.</w:t>
      </w:r>
    </w:p>
    <w:p>
      <w:pPr>
        <w:pStyle w:val="BodyText"/>
      </w:pPr>
      <w:r>
        <w:t xml:space="preserve">Crucially, Professor's growth in Philippines Manila isn't just about revenue—it's about impact. In the past quarter alone, our platform has been instrumental in helping 187,429 students across Manila improve their math scores by an average of 32% (per DepEd assessment data). This measurable educational advancement is what makes Professor not just a product, but a transformative force in Philippine education.</w:t>
      </w:r>
    </w:p>
    <w:p>
      <w:pPr>
        <w:pStyle w:val="BodyText"/>
      </w:pPr>
      <w:r>
        <w:t xml:space="preserve">As the Manila Department of Education's Digital Learning Director noted: "Professor has become the backbone of our classroom tech strategy. The level of local adaptation we see is unprecedented." This sentiment echoes across every school district from Malate to Marikina—evidence that Professor has not merely entered the Philippines market, but has become woven into Manila's educational fabric.</w:t>
      </w:r>
    </w:p>
    <w:p>
      <w:pPr>
        <w:pStyle w:val="BodyText"/>
      </w:pPr>
      <w:r>
        <w:rPr>
          <w:bCs/>
          <w:b/>
        </w:rPr>
        <w:t xml:space="preserve">Prepared by:</w:t>
      </w:r>
      <w:r>
        <w:t xml:space="preserve"> </w:t>
      </w:r>
      <w:r>
        <w:t xml:space="preserve">Regional Sales Operations, Professor Philippines Manila Office</w:t>
      </w:r>
    </w:p>
    <w:p>
      <w:pPr>
        <w:pStyle w:val="BodyText"/>
      </w:pPr>
      <w:r>
        <w:rPr>
          <w:bCs/>
          <w:b/>
        </w:rPr>
        <w:t xml:space="preserve">Date:</w:t>
      </w:r>
      <w:r>
        <w:t xml:space="preserve"> </w:t>
      </w:r>
      <w:r>
        <w:t xml:space="preserve">October 15, 2023</w:t>
      </w:r>
    </w:p>
    <w:p>
      <w:pPr>
        <w:pStyle w:val="BodyText"/>
      </w:pPr>
      <w:r>
        <w:t xml:space="preserve">"Empowering Every Learner in the Heart of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Report: Professor Educational Solutions</dc:title>
  <dc:creator/>
  <dc:language>en</dc:language>
  <cp:keywords/>
  <dcterms:created xsi:type="dcterms:W3CDTF">2025-12-12T12:20:44Z</dcterms:created>
  <dcterms:modified xsi:type="dcterms:W3CDTF">2025-12-12T12:20:44Z</dcterms:modified>
</cp:coreProperties>
</file>

<file path=docProps/custom.xml><?xml version="1.0" encoding="utf-8"?>
<Properties xmlns="http://schemas.openxmlformats.org/officeDocument/2006/custom-properties" xmlns:vt="http://schemas.openxmlformats.org/officeDocument/2006/docPropsVTypes"/>
</file>