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Official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Professor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  <w:r>
        <w:t xml:space="preserve"> </w:t>
      </w:r>
      <w:r>
        <w:t xml:space="preserve">Market</w:t>
      </w:r>
    </w:p>
    <w:bookmarkStart w:id="28" w:name="X6798d2c5f812accf524666b656fa215c361073b"/>
    <w:p>
      <w:pPr>
        <w:pStyle w:val="Heading1"/>
      </w:pPr>
      <w:r>
        <w:t xml:space="preserve">OFFICIAL SALES REPORT: PROFESSOR PRODUCT LINE IN RUSSIA MOSCOW MARKET</w:t>
      </w:r>
    </w:p>
    <w:p>
      <w:pPr>
        <w:pStyle w:val="FirstParagraph"/>
      </w:pPr>
      <w:r>
        <w:t xml:space="preserve">This comprehensive Sales Report details the performance, strategic insights, and market trajectory of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educational technology platform within the Russian Federation, with primary focus on Moscow as the economic and innovation epicenter. Prepared for executive leadership and regional stakeholders, this document confirms</w:t>
      </w:r>
      <w:r>
        <w:t xml:space="preserve"> </w:t>
      </w:r>
      <w:r>
        <w:rPr>
          <w:bCs/>
          <w:b/>
        </w:rPr>
        <w:t xml:space="preserve">Professor</w:t>
      </w:r>
      <w:r>
        <w:t xml:space="preserve">'s growing market dominance in Russia's premium education sector since Q3 2023.</w:t>
      </w:r>
    </w:p>
    <w:bookmarkStart w:id="21" w:name="X857e179a3443c5b67d5785afd8a709c116f760e"/>
    <w:p>
      <w:pPr>
        <w:pStyle w:val="Heading2"/>
      </w:pPr>
      <w:r>
        <w:t xml:space="preserve">EXECUTIVE SUMMARY: PROFESSOR'S MOSCOW STRATEGIC ADVANCEMENT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platform has achieved remarkable penetration across Moscow's elite academic institutions, surpassing initial sales targets by 147% in the current fiscal year. As of December 2023, Moscow accounts for 68% of all</w:t>
      </w:r>
      <w:r>
        <w:t xml:space="preserve"> </w:t>
      </w:r>
      <w:r>
        <w:rPr>
          <w:bCs/>
          <w:b/>
        </w:rPr>
        <w:t xml:space="preserve">Professor</w:t>
      </w:r>
      <w:r>
        <w:t xml:space="preserve">-related revenue within Russia, cementing its status as the nation's premier market. This success stems from our targeted localization strategy and deep alignment with Moscow's higher education transformation initiatives.</w:t>
      </w:r>
    </w:p>
    <w:bookmarkStart w:id="20" w:name="X3e500f4ad505704138b5e6918168fafd6951ece"/>
    <w:p>
      <w:pPr>
        <w:pStyle w:val="Heading3"/>
      </w:pPr>
      <w:r>
        <w:t xml:space="preserve">KEY PERFORMANCE METRICS (RUSSIA MOSCOW, 2023)</w:t>
      </w:r>
    </w:p>
    <w:p>
      <w:pPr>
        <w:pStyle w:val="FirstParagraph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+147% YoY in Moscow (vs. national average of +89%)</w:t>
      </w:r>
    </w:p>
    <w:p>
      <w:pPr>
        <w:pStyle w:val="BodyText"/>
      </w:pPr>
      <w:r>
        <w:rPr>
          <w:bCs/>
          <w:b/>
        </w:rPr>
        <w:t xml:space="preserve">Institutional Adoption:</w:t>
      </w:r>
      <w:r>
        <w:t xml:space="preserve"> </w:t>
      </w:r>
      <w:r>
        <w:t xml:space="preserve">127 universities and research centers activated in Moscow alone</w:t>
      </w:r>
    </w:p>
    <w:p>
      <w:pPr>
        <w:pStyle w:val="BodyTex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34% in premium educational SaaS segment within Russia (up from 19% in Q1 2023)</w:t>
      </w:r>
    </w:p>
    <w:p>
      <w:pPr>
        <w:pStyle w:val="BodyText"/>
      </w:pPr>
      <w:r>
        <w:rPr>
          <w:bCs/>
          <w:b/>
        </w:rPr>
        <w:t xml:space="preserve">CAC Reduction:</w:t>
      </w:r>
      <w:r>
        <w:t xml:space="preserve"> </w:t>
      </w:r>
      <w:r>
        <w:t xml:space="preserve">-38% through optimized digital campaigns targeting Moscow academia</w:t>
      </w:r>
    </w:p>
    <w:bookmarkEnd w:id="20"/>
    <w:bookmarkEnd w:id="21"/>
    <w:bookmarkStart w:id="22" w:name="X699fe9030968c15f76858b89851e6da39689f61"/>
    <w:p>
      <w:pPr>
        <w:pStyle w:val="Heading2"/>
      </w:pPr>
      <w:r>
        <w:t xml:space="preserve">MOSCOW MARKET ANALYSIS: WHY PROFESSOR DOMINATES</w:t>
      </w:r>
    </w:p>
    <w:p>
      <w:pPr>
        <w:pStyle w:val="FirstParagraph"/>
      </w:pPr>
      <w:r>
        <w:t xml:space="preserve">Our market intelligence confirms that Moscow represents a $417M educational technology opportunity, with universities prioritizing AI-driven learning solutions. The strategic decision to anchor our Russia operations in Moscow proved decisive, as 83% of Russian university IT procurement occurs through the capital's centralized systems.</w:t>
      </w:r>
      <w:r>
        <w:t xml:space="preserve"> </w:t>
      </w:r>
      <w:r>
        <w:rPr>
          <w:bCs/>
          <w:b/>
        </w:rPr>
        <w:t xml:space="preserve">Professor</w:t>
      </w:r>
      <w:r>
        <w:t xml:space="preserve">'s native Russian language interface—developed with Moscow-based linguists—and compliance with Federal Law 149-FZ (data sovereignty requirements) positioned us as the only solution meeting all legal and pedagogical criteria.</w:t>
      </w:r>
    </w:p>
    <w:p>
      <w:pPr>
        <w:pStyle w:val="BodyText"/>
      </w:pPr>
      <w:r>
        <w:t xml:space="preserve">Crucially, our partnership with Moscow State University (MSU), the nation's oldest and most prestigious institution, provided undeniable social proof.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platform now supports 28,000+ students at MSU alone, generating case studies that accelerated adoption across 31 additional Moscow universities including HSE University and MIPT.</w:t>
      </w:r>
    </w:p>
    <w:bookmarkEnd w:id="22"/>
    <w:bookmarkStart w:id="24" w:name="Xcad5555f478e4d06b85c1d171a556cefda9bbfa"/>
    <w:p>
      <w:pPr>
        <w:pStyle w:val="Heading2"/>
      </w:pPr>
      <w:r>
        <w:t xml:space="preserve">SALES PERFORMANCE BREAKDOWN: RUSSIA MOSCOW STRATEGY</w:t>
      </w:r>
    </w:p>
    <w:p>
      <w:pPr>
        <w:pStyle w:val="FirstParagraph"/>
      </w:pPr>
      <w:r>
        <w:t xml:space="preserve">Our Russia Moscow sales strategy employed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Elite Academic Partnerships:</w:t>
      </w:r>
      <w:r>
        <w:t xml:space="preserve"> </w:t>
      </w:r>
      <w:r>
        <w:t xml:space="preserve">Direct enterprise contracts with top 10 Moscow universities, bypassing fragmented regional distributors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Content co-created with Russian pedagogy experts to align with "Federal State Educational Standards" (FSES)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Precision Targeting:</w:t>
      </w:r>
      <w:r>
        <w:t xml:space="preserve"> </w:t>
      </w:r>
      <w:r>
        <w:t xml:space="preserve">AI-driven outreach via LinkedIn and university portals, focusing on Moscow's 12,500+ academic decision-makers</w:t>
      </w:r>
    </w:p>
    <w:p>
      <w:pPr>
        <w:pStyle w:val="FirstParagraph"/>
      </w:pPr>
      <w:r>
        <w:t xml:space="preserve">This approach yielded exceptional results: 79% of new Moscow contracts originated from referrals through existing MSU users.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team achieved a 4.8/5 average satisfaction rating in post-implementation surveys at Moscow institutions, significantly outperforming competitors (2.1/5 average).</w:t>
      </w:r>
    </w:p>
    <w:bookmarkStart w:id="23" w:name="moscow-specific-sales-accelerators"/>
    <w:p>
      <w:pPr>
        <w:pStyle w:val="Heading3"/>
      </w:pPr>
      <w:r>
        <w:t xml:space="preserve">MOSCOW-SPECIFIC SALES ACCELERATORS</w:t>
      </w:r>
    </w:p>
    <w:p>
      <w:pPr>
        <w:pStyle w:val="FirstParagraph"/>
      </w:pPr>
      <w:r>
        <w:rPr>
          <w:bCs/>
          <w:b/>
        </w:rPr>
        <w:t xml:space="preserve">Localized Pricing:</w:t>
      </w:r>
      <w:r>
        <w:t xml:space="preserve"> </w:t>
      </w:r>
      <w:r>
        <w:t xml:space="preserve">Tiered subscriptions aligned with Russian budget cycles (e.g., academic year-based contracts)</w:t>
      </w:r>
    </w:p>
    <w:p>
      <w:pPr>
        <w:pStyle w:val="BodyText"/>
      </w:pPr>
      <w:r>
        <w:rPr>
          <w:bCs/>
          <w:b/>
        </w:rPr>
        <w:t xml:space="preserve">Cybersecurity Certification:</w:t>
      </w:r>
      <w:r>
        <w:t xml:space="preserve"> </w:t>
      </w:r>
      <w:r>
        <w:t xml:space="preserve">Successfully obtained FSB-approved "National Security Compliance" for Moscow data centers</w:t>
      </w:r>
    </w:p>
    <w:p>
      <w:pPr>
        <w:pStyle w:val="BodyText"/>
      </w:pPr>
      <w:r>
        <w:rPr>
          <w:bCs/>
          <w:b/>
        </w:rPr>
        <w:t xml:space="preserve">Russian-Language Support:</w:t>
      </w:r>
      <w:r>
        <w:t xml:space="preserve"> </w:t>
      </w:r>
      <w:r>
        <w:t xml:space="preserve">24/7 helpdesk staffed by certified Russian pedagogues in Moscow time zone</w:t>
      </w:r>
    </w:p>
    <w:bookmarkEnd w:id="23"/>
    <w:bookmarkEnd w:id="24"/>
    <w:bookmarkStart w:id="25" w:name="X88ee95674b31e03fee58d4c4c95c066faabfe96"/>
    <w:p>
      <w:pPr>
        <w:pStyle w:val="Heading2"/>
      </w:pPr>
      <w:r>
        <w:t xml:space="preserve">CHALLENGES &amp; OPPORTUNITIES IN RUSSIA MOSCOW MARKET</w:t>
      </w:r>
    </w:p>
    <w:p>
      <w:pPr>
        <w:pStyle w:val="FirstParagraph"/>
      </w:pPr>
      <w:r>
        <w:t xml:space="preserve">Despite strong growth, three challenges required strategic adjustment: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Implemented fixed ruble pricing for 18-month contracts to shield Moscow clients from USD fluctuations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Collaborated with Moscow's Federal Tax Service to streamline compliance documentation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Modified sales approach after observing that Moscow academics prioritize peer-endorsed solutions over direct sales pitches</w:t>
      </w:r>
    </w:p>
    <w:p>
      <w:pPr>
        <w:pStyle w:val="FirstParagraph"/>
      </w:pPr>
      <w:r>
        <w:t xml:space="preserve">The most significant opportunity emerged from Moscow's new "Digital Education 2025" initiative, allocating $620M for university tech modernization.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is now positioned as the preferred platform for 14 of the 17 priority projects under this program. Furthermore, Moscow's startup ecosystem (home to over 8,000 edtech ventures) presents a B2B expansion channel where</w:t>
      </w:r>
      <w:r>
        <w:t xml:space="preserve"> </w:t>
      </w:r>
      <w:r>
        <w:rPr>
          <w:bCs/>
          <w:b/>
        </w:rPr>
        <w:t xml:space="preserve">Professor</w:t>
      </w:r>
      <w:r>
        <w:t xml:space="preserve">'s API integrations can power new learning applications.</w:t>
      </w:r>
    </w:p>
    <w:bookmarkEnd w:id="25"/>
    <w:bookmarkStart w:id="26" w:name="Xb086803a22b2d583c5d3afa81ac76067bc431dc"/>
    <w:p>
      <w:pPr>
        <w:pStyle w:val="Heading2"/>
      </w:pPr>
      <w:r>
        <w:t xml:space="preserve">STRATEGY FOR Q1-Q4 2024: PROFESSOR'S RUSSIA MOSCOW ROADMAP</w:t>
      </w:r>
    </w:p>
    <w:p>
      <w:pPr>
        <w:pStyle w:val="FirstParagraph"/>
      </w:pPr>
      <w:r>
        <w:t xml:space="preserve">Building on our Moscow success, the following initiatives will drive sustained growth: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Moscow Innovation Hub Launch:</w:t>
      </w:r>
      <w:r>
        <w:t xml:space="preserve"> </w:t>
      </w:r>
      <w:r>
        <w:t xml:space="preserve">Establishing physical headquarters in Central Moscow (near MSU and Skolkovo) to accelerate client relationships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University Package:</w:t>
      </w:r>
      <w:r>
        <w:t xml:space="preserve"> </w:t>
      </w:r>
      <w:r>
        <w:t xml:space="preserve">Introducing "Professor Elite" tier with exclusive Moscow-only features like VR lab integration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Tender Participation:</w:t>
      </w:r>
      <w:r>
        <w:t xml:space="preserve"> </w:t>
      </w:r>
      <w:r>
        <w:t xml:space="preserve">Direct bidding for $120M Ministry of Education project targeting 50+ Moscow universities</w:t>
      </w:r>
    </w:p>
    <w:p>
      <w:pPr>
        <w:pStyle w:val="FirstParagraph"/>
      </w:pPr>
      <w:r>
        <w:t xml:space="preserve">We project 218% revenue growth in Russia Moscow by Q4 2024, with institutional retention at 93% (vs. industry average of 76%). This will be achieved through quarterly "Professor Academic Summits" hosted across Moscow's key universities to foster community engagement.</w:t>
      </w:r>
    </w:p>
    <w:bookmarkEnd w:id="26"/>
    <w:bookmarkStart w:id="27" w:name="Xc85a5ba9a66198ec56c1b66978cd1b1d819e6b4"/>
    <w:p>
      <w:pPr>
        <w:pStyle w:val="Heading2"/>
      </w:pPr>
      <w:r>
        <w:t xml:space="preserve">CONCLUSION: PROFESSOR'S FUTURE IN RUSSIA MOSCOW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Moscow is not merely a market for</w:t>
      </w:r>
      <w:r>
        <w:t xml:space="preserve"> </w:t>
      </w:r>
      <w:r>
        <w:rPr>
          <w:bCs/>
          <w:b/>
        </w:rPr>
        <w:t xml:space="preserve">Professor</w:t>
      </w:r>
      <w:r>
        <w:t xml:space="preserve">, but the strategic nucleus of our Russian expansion. Our 147% YoY growth in this single city demonstrates how deep cultural alignment combined with localized execution creates unassailable competitive advantage. As Russia's education technology landscape evolves,</w:t>
      </w:r>
      <w:r>
        <w:t xml:space="preserve"> </w:t>
      </w:r>
      <w:r>
        <w:rPr>
          <w:bCs/>
          <w:b/>
        </w:rPr>
        <w:t xml:space="preserve">Professor</w:t>
      </w:r>
      <w:r>
        <w:t xml:space="preserve">'s Moscow-based operations provide the ideal foundation for national scaling while maintaining compliance with Russia's regulatory environment.</w:t>
      </w:r>
    </w:p>
    <w:p>
      <w:pPr>
        <w:pStyle w:val="BodyText"/>
      </w:pPr>
      <w:r>
        <w:t xml:space="preserve">With 68% of all revenue generated in Moscow, and our new physical presence now operational in the Russian capital, we stand positioned to dominate Russia's $1.2B educational software market. The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brand has transcended being a product—it is now synonymous with cutting-edge academic excellence across Russia Moscow institutions.</w:t>
      </w:r>
    </w:p>
    <w:p>
      <w:pPr>
        <w:pStyle w:val="BodyText"/>
      </w:pPr>
      <w:r>
        <w:t xml:space="preserve">Prepared by: Global Sales Analytics Division | Date: January 15, 2024</w:t>
      </w:r>
      <w:r>
        <w:br/>
      </w:r>
      <w:r>
        <w:t xml:space="preserve">For Internal Use Only - Confidential Property of Professor Technologies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Sales Report: Professor in Russia Moscow Market</dc:title>
  <dc:creator/>
  <dc:language>en</dc:language>
  <cp:keywords/>
  <dcterms:created xsi:type="dcterms:W3CDTF">2026-07-23T09:50:15Z</dcterms:created>
  <dcterms:modified xsi:type="dcterms:W3CDTF">2026-07-23T09:50:15Z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