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Russia</w:t>
      </w:r>
      <w:r>
        <w:t xml:space="preserve"> </w:t>
      </w:r>
      <w:r>
        <w:t xml:space="preserve">Saint</w:t>
      </w:r>
      <w:r>
        <w:t xml:space="preserve"> </w:t>
      </w:r>
      <w:r>
        <w:t xml:space="preserve">Petersburg</w:t>
      </w:r>
      <w:r>
        <w:t xml:space="preserve"> </w:t>
      </w:r>
      <w:r>
        <w:t xml:space="preserve">Market</w:t>
      </w:r>
      <w:r>
        <w:t xml:space="preserve"> </w:t>
      </w:r>
      <w:r>
        <w:t xml:space="preserve">Analysis</w:t>
      </w:r>
    </w:p>
    <w:bookmarkStart w:id="29" w:name="X0177d3837e4d55080569a167eba32a419873a3f"/>
    <w:p>
      <w:pPr>
        <w:pStyle w:val="Heading1"/>
      </w:pPr>
      <w:r>
        <w:t xml:space="preserve">Comprehensive Sales Report: Professor Product Line in Russia Saint Petersburg</w:t>
      </w:r>
    </w:p>
    <w:bookmarkStart w:id="20" w:name="executive-summary"/>
    <w:p>
      <w:pPr>
        <w:pStyle w:val="Heading2"/>
      </w:pPr>
      <w:r>
        <w:t xml:space="preserve">Executive Summary</w:t>
      </w:r>
    </w:p>
    <w:p>
      <w:pPr>
        <w:pStyle w:val="FirstParagraph"/>
      </w:pPr>
      <w:r>
        <w:t xml:space="preserve">This Sales Report presents a detailed analysis of the Professor product line's market performance within Russia's Saint Petersburg metropolitan area. Covering Q1-Q3 2023, this document demonstrates how the Professor platform has established itself as a critical educational technology solution across Saint Petersburg's academic and corporate sectors. With a remarkable 68% year-over-year growth in licensed institutions, the Professor brand has become synonymous with premium educational innovation in Russia's northern capital. This report confirms Saint Petersburg as our most promising regional market outside Moscow, with strategic implications for nationwide expansion.</w:t>
      </w:r>
    </w:p>
    <w:bookmarkEnd w:id="20"/>
    <w:bookmarkStart w:id="21" w:name="Xfa90da56cb7596bad1e8fc789608ca8b82b188d"/>
    <w:p>
      <w:pPr>
        <w:pStyle w:val="Heading2"/>
      </w:pPr>
      <w:r>
        <w:t xml:space="preserve">Market Context: Saint Petersburg's Educational Landscape</w:t>
      </w:r>
    </w:p>
    <w:p>
      <w:pPr>
        <w:pStyle w:val="FirstParagraph"/>
      </w:pPr>
      <w:r>
        <w:t xml:space="preserve">Russia Saint Petersburg maintains its position as the nation's second-largest education hub, hosting 47 major universities including St. Petersburg State University (ranked #1 in Russia), ITMO University, and the European University at St. Petersburg. The city's academic ecosystem represents a $1.2 billion annual market for educational technology solutions, with Saint Petersburg accounting for 23% of Russia's total institutional EdTech adoption. This Sales Report identifies Professor as the fastest-growing platform in this segment due to its localized adaptation to Russian pedagogical standards and compliance with FERPA-equivalent regulations.</w:t>
      </w:r>
    </w:p>
    <w:p>
      <w:pPr>
        <w:pStyle w:val="BodyText"/>
      </w:pPr>
      <w:r>
        <w:t xml:space="preserve">Notably, Saint Petersburg's unique educational culture—characterized by rigorous academic traditions combined with strong digital transformation initiatives—has proven ideal for Professor's AI-driven curriculum personalization features. The platform's Russian-language interface, aligned with the Federal State Educational Standards (FSES), has been instrumental in overcoming adoption barriers that plagued international competitors.</w:t>
      </w:r>
    </w:p>
    <w:bookmarkEnd w:id="21"/>
    <w:bookmarkStart w:id="23" w:name="Xc34c8998a3fe489ed221710828aa9ad305f655b"/>
    <w:p>
      <w:pPr>
        <w:pStyle w:val="Heading2"/>
      </w:pPr>
      <w:r>
        <w:t xml:space="preserve">Sales Performance Highlights: Russia Saint Petersburg</w:t>
      </w:r>
    </w:p>
    <w:p>
      <w:pPr>
        <w:pStyle w:val="FirstParagraph"/>
      </w:pPr>
      <w:r>
        <w:t xml:space="preserve">Key Metric</w:t>
      </w:r>
    </w:p>
    <w:p>
      <w:pPr>
        <w:pStyle w:val="BodyText"/>
      </w:pPr>
      <w:r>
        <w:t xml:space="preserve">Q1 2023</w:t>
      </w:r>
    </w:p>
    <w:p>
      <w:pPr>
        <w:pStyle w:val="BodyText"/>
      </w:pPr>
      <w:r>
        <w:t xml:space="preserve">Q3 2023</w:t>
      </w:r>
    </w:p>
    <w:p>
      <w:pPr>
        <w:pStyle w:val="BodyText"/>
      </w:pPr>
      <w:r>
        <w:t xml:space="preserve">Growth Rate</w:t>
      </w:r>
    </w:p>
    <w:p>
      <w:pPr>
        <w:pStyle w:val="BodyText"/>
      </w:pPr>
      <w:r>
        <w:t xml:space="preserve">Institutional Licenses (Saint Petersburg)</w:t>
      </w:r>
    </w:p>
    <w:p>
      <w:pPr>
        <w:pStyle w:val="BodyText"/>
      </w:pPr>
      <w:r>
        <w:t xml:space="preserve">187</w:t>
      </w:r>
    </w:p>
    <w:p>
      <w:pPr>
        <w:pStyle w:val="BodyText"/>
      </w:pPr>
      <w:r>
        <w:t xml:space="preserve">315</w:t>
      </w:r>
    </w:p>
    <w:p>
      <w:pPr>
        <w:pStyle w:val="BodyText"/>
      </w:pPr>
      <w:r>
        <w:t xml:space="preserve">+69.5%</w:t>
      </w:r>
    </w:p>
    <w:p>
      <w:pPr>
        <w:pStyle w:val="BodyText"/>
      </w:pPr>
      <w:r>
        <w:t xml:space="preserve">Revenue Contribution (Local)</w:t>
      </w:r>
    </w:p>
    <w:p>
      <w:pPr>
        <w:pStyle w:val="BodyText"/>
      </w:pPr>
      <w:r>
        <w:t xml:space="preserve">$2.4M</w:t>
      </w:r>
    </w:p>
    <w:p>
      <w:pPr>
        <w:pStyle w:val="BodyText"/>
      </w:pPr>
      <w:r>
        <w:t xml:space="preserve">&lt;</w:t>
      </w:r>
    </w:p>
    <w:p>
      <w:pPr>
        <w:pStyle w:val="BodyText"/>
      </w:pPr>
      <w:r>
        <w:t xml:space="preserve">$4.1M</w:t>
      </w:r>
    </w:p>
    <w:p>
      <w:pPr>
        <w:pStyle w:val="BodyText"/>
      </w:pPr>
      <w:r>
        <w:t xml:space="preserve">Corporate Training Contracts</w:t>
      </w:r>
    </w:p>
    <w:p>
      <w:pPr>
        <w:pStyle w:val="BodyText"/>
      </w:pPr>
      <w:hyperlink r:id="rId22">
        <w:r>
          <w:rPr>
            <w:rStyle w:val="Hyperlink"/>
          </w:rPr>
          <w:t xml:space="preserve">+75%</w:t>
        </w:r>
      </w:hyperlink>
    </w:p>
    <w:p>
      <w:pPr>
        <w:pStyle w:val="BodyText"/>
      </w:pPr>
      <w:r>
        <w:t xml:space="preserve">Student Users (Active)</w:t>
      </w:r>
    </w:p>
    <w:p>
      <w:pPr>
        <w:pStyle w:val="BodyText"/>
      </w:pPr>
      <w:r>
        <w:t xml:space="preserve">86,200</w:t>
      </w:r>
    </w:p>
    <w:p>
      <w:pPr>
        <w:pStyle w:val="BodyText"/>
      </w:pPr>
      <w:r>
        <w:t xml:space="preserve">149,300</w:t>
      </w:r>
    </w:p>
    <w:p>
      <w:pPr>
        <w:pStyle w:val="BodyText"/>
      </w:pPr>
      <w:r>
        <w:t xml:space="preserve">+73.2%</w:t>
      </w:r>
    </w:p>
    <w:p>
      <w:pPr>
        <w:pStyle w:val="BodyText"/>
      </w:pPr>
      <w:r>
        <w:t xml:space="preserve">The Sales Report documents an exceptional surge in Saint Petersburg's higher education sector. Professor achieved 54 new university partnerships during Q3 alone—most notably with the St. Petersburg Electrotechnical University (LETI) and the Russian State University for the Humanities (RSUH). These institutions adopted Professor's "Adaptive Learning Suite" to address declining student retention rates, reporting a 28% improvement in course completion after implementation.</w:t>
      </w:r>
    </w:p>
    <w:bookmarkEnd w:id="23"/>
    <w:bookmarkStart w:id="24" w:name="Xcd35c325d162e38a9b8c2f45b1c472ff151c88e"/>
    <w:p>
      <w:pPr>
        <w:pStyle w:val="Heading2"/>
      </w:pPr>
      <w:r>
        <w:t xml:space="preserve">Strategic Insights from Russia Saint Petersburg</w:t>
      </w:r>
    </w:p>
    <w:p>
      <w:pPr>
        <w:pStyle w:val="FirstParagraph"/>
      </w:pPr>
      <w:r>
        <w:t xml:space="preserve">Our analysis reveals three critical success factors for Professor in Saint Petersburg:</w:t>
      </w:r>
    </w:p>
    <w:p>
      <w:pPr>
        <w:numPr>
          <w:ilvl w:val="0"/>
          <w:numId w:val="1001"/>
        </w:numPr>
        <w:pStyle w:val="Compact"/>
      </w:pPr>
      <w:r>
        <w:rPr>
          <w:bCs/>
          <w:b/>
        </w:rPr>
        <w:t xml:space="preserve">Cultural Localization:</w:t>
      </w:r>
      <w:r>
        <w:t xml:space="preserve"> </w:t>
      </w:r>
      <w:r>
        <w:t xml:space="preserve">The platform's integration of Russian academic protocols (e.g., aligning with the "State Examination Standards") created immediate trust. Unlike generic solutions, Professor automatically formats assignments according to Saint Petersburg University's grading rubrics.</w:t>
      </w:r>
    </w:p>
    <w:p>
      <w:pPr>
        <w:numPr>
          <w:ilvl w:val="0"/>
          <w:numId w:val="1001"/>
        </w:numPr>
        <w:pStyle w:val="Compact"/>
      </w:pPr>
      <w:r>
        <w:rPr>
          <w:bCs/>
          <w:b/>
        </w:rPr>
        <w:t xml:space="preserve">Government Partnership:</w:t>
      </w:r>
      <w:r>
        <w:t xml:space="preserve"> </w:t>
      </w:r>
      <w:r>
        <w:t xml:space="preserve">Collaboration with the Saint Petersburg Department of Education has been pivotal. The city government's 2023 digital education initiative awarded Professor a pilot contract for 15 public schools, generating significant social proof.</w:t>
      </w:r>
    </w:p>
    <w:p>
      <w:pPr>
        <w:numPr>
          <w:ilvl w:val="0"/>
          <w:numId w:val="1001"/>
        </w:numPr>
        <w:pStyle w:val="Compact"/>
      </w:pPr>
      <w:r>
        <w:rPr>
          <w:bCs/>
          <w:b/>
        </w:rPr>
        <w:t xml:space="preserve">Corporate Synergy:</w:t>
      </w:r>
      <w:r>
        <w:t xml:space="preserve"> </w:t>
      </w:r>
      <w:r>
        <w:t xml:space="preserve">Saint Petersburg's industrial giants (including Gazprom Neft and Sibur) have adopted Professor's executive training modules. This corporate adoption has created a "halo effect" driving university interest—72% of new licenses came through corporate referrals.</w:t>
      </w:r>
    </w:p>
    <w:bookmarkEnd w:id="24"/>
    <w:bookmarkStart w:id="25" w:name="challenges-mitigation-strategies"/>
    <w:p>
      <w:pPr>
        <w:pStyle w:val="Heading2"/>
      </w:pPr>
      <w:r>
        <w:t xml:space="preserve">Challenges &amp; Mitigation Strategies</w:t>
      </w:r>
    </w:p>
    <w:p>
      <w:pPr>
        <w:pStyle w:val="FirstParagraph"/>
      </w:pPr>
      <w:r>
        <w:t xml:space="preserve">This Sales Report acknowledges two persistent challenges in Russia Saint Petersburg's market:</w:t>
      </w:r>
    </w:p>
    <w:p>
      <w:pPr>
        <w:numPr>
          <w:ilvl w:val="0"/>
          <w:numId w:val="1002"/>
        </w:numPr>
        <w:pStyle w:val="Compact"/>
      </w:pPr>
      <w:r>
        <w:rPr>
          <w:bCs/>
          <w:b/>
        </w:rPr>
        <w:t xml:space="preserve">Infrastructure Limitations:</w:t>
      </w:r>
      <w:r>
        <w:t xml:space="preserve"> </w:t>
      </w:r>
      <w:r>
        <w:t xml:space="preserve">31% of Saint Petersburg schools lack reliable high-speed internet for cloud-based platforms. *Mitigation:* Professor deployed offline-capable "St. Petersburg Edition" with local server caching, reducing connectivity issues by 89%.</w:t>
      </w:r>
    </w:p>
    <w:p>
      <w:pPr>
        <w:numPr>
          <w:ilvl w:val="0"/>
          <w:numId w:val="1002"/>
        </w:numPr>
        <w:pStyle w:val="Compact"/>
      </w:pPr>
      <w:r>
        <w:rPr>
          <w:bCs/>
          <w:b/>
        </w:rPr>
        <w:t xml:space="preserve">Cultural Resistance:</w:t>
      </w:r>
      <w:r>
        <w:t xml:space="preserve"> </w:t>
      </w:r>
      <w:r>
        <w:t xml:space="preserve">Faculty skepticism toward AI-driven teaching tools was evident in early Q1 surveys (42% resistance rate). *Mitigation:* Implemented "Professor Ambassador Program" where 30 leading Saint Petersburg educators co-developed content, reducing resistance to 19% by Q3.</w:t>
      </w:r>
    </w:p>
    <w:bookmarkEnd w:id="25"/>
    <w:bookmarkStart w:id="26" w:name="Xa89b4d6e62f2373273197804e34068194b5bf93"/>
    <w:p>
      <w:pPr>
        <w:pStyle w:val="Heading2"/>
      </w:pPr>
      <w:r>
        <w:t xml:space="preserve">Future Growth Projections for Russia Saint Petersburg</w:t>
      </w:r>
    </w:p>
    <w:p>
      <w:pPr>
        <w:pStyle w:val="FirstParagraph"/>
      </w:pPr>
      <w:r>
        <w:t xml:space="preserve">Based on current momentum, this Sales Report projects:</w:t>
      </w:r>
    </w:p>
    <w:p>
      <w:pPr>
        <w:numPr>
          <w:ilvl w:val="0"/>
          <w:numId w:val="1003"/>
        </w:numPr>
        <w:pStyle w:val="Compact"/>
      </w:pPr>
      <w:r>
        <w:rPr>
          <w:bCs/>
          <w:b/>
        </w:rPr>
        <w:t xml:space="preserve">Market Share:</w:t>
      </w:r>
      <w:r>
        <w:t xml:space="preserve"> </w:t>
      </w:r>
      <w:r>
        <w:t xml:space="preserve">37% in Saint Petersburg's university EdTech segment by Q4 2024 (up from 19% in Q1 2023)</w:t>
      </w:r>
    </w:p>
    <w:p>
      <w:pPr>
        <w:numPr>
          <w:ilvl w:val="0"/>
          <w:numId w:val="1003"/>
        </w:numPr>
        <w:pStyle w:val="Compact"/>
      </w:pPr>
      <w:r>
        <w:rPr>
          <w:bCs/>
          <w:b/>
        </w:rPr>
        <w:t xml:space="preserve">Revenue Potential:</w:t>
      </w:r>
      <w:r>
        <w:t xml:space="preserve"> </w:t>
      </w:r>
      <w:r>
        <w:t xml:space="preserve">$8.5M annual revenue from Russia Saint Petersburg by end-2024</w:t>
      </w:r>
    </w:p>
    <w:p>
      <w:pPr>
        <w:numPr>
          <w:ilvl w:val="0"/>
          <w:numId w:val="1003"/>
        </w:numPr>
        <w:pStyle w:val="Compact"/>
      </w:pPr>
      <w:r>
        <w:rPr>
          <w:bCs/>
          <w:b/>
        </w:rPr>
        <w:t xml:space="preserve">New Verticals:</w:t>
      </w:r>
      <w:r>
        <w:t xml:space="preserve"> </w:t>
      </w:r>
      <w:r>
        <w:t xml:space="preserve">Expansion into vocational training for Saint Petersburg's manufacturing sector (targeting 15 new factories by Q2 2024)</w:t>
      </w:r>
    </w:p>
    <w:p>
      <w:pPr>
        <w:pStyle w:val="FirstParagraph"/>
      </w:pPr>
      <w:r>
        <w:t xml:space="preserve">A particularly promising opportunity is the integration of Professor with Saint Petersburg's "Digital Education" government initiative. The city plans to allocate $47M for platform modernization in 2024, creating a direct pipeline for Professor's next-generation analytics suite.</w:t>
      </w:r>
    </w:p>
    <w:bookmarkEnd w:id="26"/>
    <w:bookmarkStart w:id="27" w:name="strategic-recommendations"/>
    <w:p>
      <w:pPr>
        <w:pStyle w:val="Heading2"/>
      </w:pPr>
      <w:r>
        <w:t xml:space="preserve">Strategic Recommendations</w:t>
      </w:r>
    </w:p>
    <w:p>
      <w:pPr>
        <w:pStyle w:val="FirstParagraph"/>
      </w:pPr>
      <w:r>
        <w:t xml:space="preserve">This comprehensive Sales Report concludes with three actionable recommendations for maximizing Professor's potential in Russia Saint Petersburg:</w:t>
      </w:r>
    </w:p>
    <w:p>
      <w:pPr>
        <w:numPr>
          <w:ilvl w:val="0"/>
          <w:numId w:val="1004"/>
        </w:numPr>
        <w:pStyle w:val="Compact"/>
      </w:pPr>
      <w:r>
        <w:rPr>
          <w:bCs/>
          <w:b/>
        </w:rPr>
        <w:t xml:space="preserve">Establish Local R&amp;D Center:</w:t>
      </w:r>
      <w:r>
        <w:t xml:space="preserve"> </w:t>
      </w:r>
      <w:r>
        <w:t xml:space="preserve">Open a dedicated Saint Petersburg development hub to accelerate feature localization (e.g., integrating with "Gosuslugi" government services). Projected ROI: 300% within 18 months through reduced support costs.</w:t>
      </w:r>
    </w:p>
    <w:p>
      <w:pPr>
        <w:numPr>
          <w:ilvl w:val="0"/>
          <w:numId w:val="1004"/>
        </w:numPr>
        <w:pStyle w:val="Compact"/>
      </w:pPr>
      <w:r>
        <w:rPr>
          <w:bCs/>
          <w:b/>
        </w:rPr>
        <w:t xml:space="preserve">Launch University Partnership Fund:</w:t>
      </w:r>
      <w:r>
        <w:t xml:space="preserve"> </w:t>
      </w:r>
      <w:r>
        <w:t xml:space="preserve">Create a $500K fund for Saint Petersburg institutions to co-create Professor modules—leveraging the city's academic prestige to drive organic adoption.</w:t>
      </w:r>
    </w:p>
    <w:p>
      <w:pPr>
        <w:numPr>
          <w:ilvl w:val="0"/>
          <w:numId w:val="1004"/>
        </w:numPr>
        <w:pStyle w:val="Compact"/>
      </w:pPr>
      <w:r>
        <w:rPr>
          <w:bCs/>
          <w:b/>
        </w:rPr>
        <w:t xml:space="preserve">Develop Corporate-University Pipeline:</w:t>
      </w:r>
      <w:r>
        <w:t xml:space="preserve"> </w:t>
      </w:r>
      <w:r>
        <w:t xml:space="preserve">Formalize partnerships with companies like Yandex and Sberbank (both headquartered in Saint Petersburg) to create joint training programs, converting 25% of corporate users into university referrals.</w:t>
      </w:r>
    </w:p>
    <w:bookmarkEnd w:id="27"/>
    <w:bookmarkStart w:id="28" w:name="conclusion"/>
    <w:p>
      <w:pPr>
        <w:pStyle w:val="Heading2"/>
      </w:pPr>
      <w:r>
        <w:t xml:space="preserve">Conclusion</w:t>
      </w:r>
    </w:p>
    <w:p>
      <w:pPr>
        <w:pStyle w:val="FirstParagraph"/>
      </w:pPr>
      <w:r>
        <w:t xml:space="preserve">The data presented in this Sales Report unequivocally positions Professor as a market leader within Russia Saint Petersburg's educational technology ecosystem. By deeply understanding the city's unique academic culture and regulatory environment, Professor has achieved sustainable growth where competitors failed. As Saint Petersburg continues its transformation into Eastern Europe's premier innovation hub, the Professor brand will serve as the technological backbone for next-generation learning.</w:t>
      </w:r>
    </w:p>
    <w:p>
      <w:pPr>
        <w:pStyle w:val="BodyText"/>
      </w:pPr>
      <w:r>
        <w:t xml:space="preserve">With our Saint Petersburg operations now generating 34% of total Russia revenue—up from 18% in 2022—we confidently project that this region will drive over $15M in annual Professor revenue by Q4 2025. The path forward is clear: double down on Saint Petersburg's strategic importance through localized innovation and institutional collaboration. This Sales Report confirms that Professor isn't merely selling software—it's building the educational future of Russia Saint Petersburg, one institution at a time.</w:t>
      </w:r>
    </w:p>
    <w:p>
      <w:pPr>
        <w:pStyle w:val="BodyText"/>
      </w:pPr>
      <w:r>
        <w:rPr>
          <w:bCs/>
          <w:b/>
        </w:rPr>
        <w:t xml:space="preserve">Prepared by:</w:t>
      </w:r>
      <w:r>
        <w:t xml:space="preserve"> </w:t>
      </w:r>
      <w:r>
        <w:t xml:space="preserve">Global Sales Strategy Division</w:t>
      </w:r>
      <w:r>
        <w:br/>
      </w:r>
      <w:r>
        <w:rPr>
          <w:bCs/>
          <w:b/>
        </w:rPr>
        <w:t xml:space="preserve">Date:</w:t>
      </w:r>
      <w:r>
        <w:t xml:space="preserve"> </w:t>
      </w:r>
      <w:r>
        <w:t xml:space="preserve">October 26, 2023</w:t>
      </w:r>
      <w:r>
        <w:br/>
      </w:r>
      <w:r>
        <w:rPr>
          <w:bCs/>
          <w:b/>
        </w:rPr>
        <w:t xml:space="preserve">Confidential: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tel:+78125001234" TargetMode="External" /></Relationships>
</file>

<file path=word/_rels/footnotes.xml.rels><?xml version="1.0" encoding="UTF-8"?><Relationships xmlns="http://schemas.openxmlformats.org/package/2006/relationships"><Relationship Type="http://schemas.openxmlformats.org/officeDocument/2006/relationships/hyperlink" Id="rId22" Target="tel:+781250012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Russia Saint Petersburg Market Analysis</dc:title>
  <dc:creator/>
  <dc:language>en</dc:language>
  <cp:keywords/>
  <dcterms:created xsi:type="dcterms:W3CDTF">2026-07-24T05:23:42Z</dcterms:created>
  <dcterms:modified xsi:type="dcterms:W3CDTF">2026-07-24T05:23:42Z</dcterms:modified>
</cp:coreProperties>
</file>

<file path=docProps/custom.xml><?xml version="1.0" encoding="utf-8"?>
<Properties xmlns="http://schemas.openxmlformats.org/officeDocument/2006/custom-properties" xmlns:vt="http://schemas.openxmlformats.org/officeDocument/2006/docPropsVTypes"/>
</file>