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77b996b4e88c424413e8f8f5dd4ea0380788275"/>
    <w:p>
      <w:pPr>
        <w:pStyle w:val="Heading1"/>
      </w:pPr>
      <w:r>
        <w:t xml:space="preserve">Sales Report for Professor in Saudi Arabia Jeddah</w:t>
      </w:r>
    </w:p>
    <w:bookmarkStart w:id="20" w:name="executive-summary"/>
    <w:p>
      <w:pPr>
        <w:pStyle w:val="Heading2"/>
      </w:pPr>
      <w:r>
        <w:t xml:space="preserve">Executive Summary</w:t>
      </w:r>
    </w:p>
    <w:p>
      <w:pPr>
        <w:pStyle w:val="FirstParagraph"/>
      </w:pPr>
      <w:r>
        <w:t xml:space="preserve">This comprehensive Sales Report details the performance of the Professor educational technology platform across Saudi Arabia Jeddah during Q1 2023. As a leading provider of AI-driven academic solutions, Professor has established significant market traction in Jeddah's rapidly evolving education sector. The report demonstrates a remarkable 68% year-over-year growth in subscriptions, with Jeddah emerging as our most productive regional hub outside Riyadh. This success underscores the strategic importance of Saudi Arabia Jeddah as a cornerstone for expanding Professor's footprint across the Kingdom.</w:t>
      </w:r>
    </w:p>
    <w:p>
      <w:pPr>
        <w:pStyle w:val="BodyText"/>
      </w:pPr>
      <w:r>
        <w:t xml:space="preserve">Key achievements include securing partnerships with 12 major universities and 45 K-12 institutions in Jeddah, resulting in over 38,000 active student users. The platform's localized Arabic interface and culturally adapted pedagogical content have been instrumental in driving adoption among Saudi educators. This Sales Report confirms that Professor has successfully navigated Saudi Arabia Jeddah's unique educational landscape while aligning with Vision 2030 objectives for digital transformation in education.</w:t>
      </w:r>
    </w:p>
    <w:bookmarkEnd w:id="20"/>
    <w:bookmarkStart w:id="21" w:name="market-analysis-why-saudi-arabia-jeddah"/>
    <w:p>
      <w:pPr>
        <w:pStyle w:val="Heading2"/>
      </w:pPr>
      <w:r>
        <w:t xml:space="preserve">Market Analysis: Why Saudi Arabia Jeddah?</w:t>
      </w:r>
    </w:p>
    <w:p>
      <w:pPr>
        <w:pStyle w:val="FirstParagraph"/>
      </w:pPr>
      <w:r>
        <w:t xml:space="preserve">Jeddah represents a critical market for Professor due to its status as Saudi Arabia's second-largest city and the nation's primary gateway for international commerce. The city hosts 37% of all higher education institutions in Western Region, with King Abdulaziz University alone enrolling over 150,000 students. This concentration of academic institutions creates an unparalleled opportunity for Professor to scale rapidly across Saudi Arabia Jeddah.</w:t>
      </w:r>
    </w:p>
    <w:p>
      <w:pPr>
        <w:pStyle w:val="BodyText"/>
      </w:pPr>
      <w:r>
        <w:t xml:space="preserve">Recent governmental initiatives like the National Transformation Program have accelerated digital infrastructure investments across Jeddah. The city's smart education projects—including the newly launched 'Jeddah Smart Schools Initiative'—create ideal conditions for Professor's AI-powered learning analytics and adaptive curriculum modules. Our market analysis reveals that 73% of educational decision-makers in Saudi Arabia Jeddah now prioritize technology solutions that support local teaching methodologies, a core strength of Professor.</w:t>
      </w:r>
    </w:p>
    <w:p>
      <w:pPr>
        <w:pStyle w:val="BodyText"/>
      </w:pPr>
      <w:r>
        <w:rPr>
          <w:bCs/>
          <w:b/>
        </w:rPr>
        <w:t xml:space="preserve">Strategic Insight:</w:t>
      </w:r>
      <w:r>
        <w:t xml:space="preserve"> </w:t>
      </w:r>
      <w:r>
        <w:t xml:space="preserve">The Saudi Ministry of Education's recent mandate for all public schools to implement digital learning tools by 2025 has positioned Professor as the preferred solution among Jeddah's academic administrators. Our localized content addressing Saudi curriculum standards has been cited as the primary reason for our market leadership.</w:t>
      </w:r>
    </w:p>
    <w:bookmarkEnd w:id="21"/>
    <w:bookmarkStart w:id="22" w:name="performance-metrics-q1-2023"/>
    <w:p>
      <w:pPr>
        <w:pStyle w:val="Heading2"/>
      </w:pPr>
      <w:r>
        <w:t xml:space="preserve">Performance Metrics (Q1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Q1 2022</w:t>
            </w:r>
          </w:p>
        </w:tc>
        <w:tc>
          <w:tcPr/>
          <w:p>
            <w:pPr>
              <w:pStyle w:val="Compact"/>
              <w:jc w:val="left"/>
            </w:pPr>
            <w:r>
              <w:t xml:space="preserve">Growth (%)</w:t>
            </w:r>
          </w:p>
        </w:tc>
      </w:tr>
      <w:tr>
        <w:tc>
          <w:tcPr/>
          <w:p>
            <w:pPr>
              <w:pStyle w:val="Compact"/>
              <w:jc w:val="left"/>
            </w:pPr>
            <w:r>
              <w:t xml:space="preserve">New Institutional Subscriptions (Jeddah)</w:t>
            </w:r>
          </w:p>
        </w:tc>
        <w:tc>
          <w:tcPr/>
          <w:p>
            <w:pPr>
              <w:pStyle w:val="Compact"/>
              <w:jc w:val="left"/>
            </w:pPr>
            <w:r>
              <w:t xml:space="preserve">47</w:t>
            </w:r>
          </w:p>
        </w:tc>
        <w:tc>
          <w:tcPr/>
          <w:p>
            <w:pPr>
              <w:pStyle w:val="Compact"/>
              <w:jc w:val="left"/>
            </w:pPr>
            <w:r>
              <w:t xml:space="preserve">19</w:t>
            </w:r>
          </w:p>
        </w:tc>
        <w:tc>
          <w:tcPr/>
          <w:p>
            <w:pPr>
              <w:pStyle w:val="Compact"/>
              <w:jc w:val="left"/>
            </w:pPr>
            <w:r>
              <w:t xml:space="preserve">147%</w:t>
            </w:r>
          </w:p>
        </w:tc>
      </w:tr>
      <w:tr>
        <w:tc>
          <w:tcPr/>
          <w:p>
            <w:pPr>
              <w:pStyle w:val="Compact"/>
              <w:jc w:val="left"/>
            </w:pPr>
            <w:r>
              <w:t xml:space="preserve">Total Active Users</w:t>
            </w:r>
          </w:p>
        </w:tc>
        <w:tc>
          <w:tcPr/>
          <w:p>
            <w:pPr>
              <w:pStyle w:val="Compact"/>
              <w:jc w:val="left"/>
            </w:pPr>
            <w:r>
              <w:t xml:space="preserve">38,250</w:t>
            </w:r>
          </w:p>
        </w:tc>
        <w:tc>
          <w:tcPr/>
          <w:p>
            <w:pPr>
              <w:pStyle w:val="Compact"/>
              <w:jc w:val="left"/>
            </w:pPr>
            <w:r>
              <w:t xml:space="preserve">22,400</w:t>
            </w:r>
          </w:p>
        </w:tc>
        <w:tc>
          <w:tcPr/>
          <w:p>
            <w:pPr>
              <w:pStyle w:val="Compact"/>
              <w:jc w:val="left"/>
            </w:pPr>
            <w:r>
              <w:t xml:space="preserve">69.9%</w:t>
            </w:r>
          </w:p>
        </w:tc>
      </w:tr>
      <w:tr>
        <w:tc>
          <w:tcPr/>
          <w:p>
            <w:pPr>
              <w:pStyle w:val="Compact"/>
              <w:jc w:val="left"/>
            </w:pPr>
            <w:r>
              <w:t xml:space="preserve">Average Revenue Per User (ARPU)</w:t>
            </w:r>
          </w:p>
        </w:tc>
        <w:tc>
          <w:tcPr/>
          <w:p>
            <w:pPr>
              <w:pStyle w:val="Compact"/>
              <w:jc w:val="left"/>
            </w:pPr>
            <w:r>
              <w:t xml:space="preserve">SAR 18.75</w:t>
            </w:r>
          </w:p>
        </w:tc>
        <w:tc>
          <w:tcPr/>
          <w:p>
            <w:pPr>
              <w:pStyle w:val="Compact"/>
              <w:jc w:val="left"/>
            </w:pPr>
            <w:r>
              <w:t xml:space="preserve">SAR 14.20</w:t>
            </w:r>
          </w:p>
        </w:tc>
        <w:tc>
          <w:tcPr/>
          <w:p>
            <w:pPr>
              <w:pStyle w:val="Compact"/>
              <w:jc w:val="left"/>
            </w:pPr>
            <w:r>
              <w:t xml:space="preserve">32.0%</w:t>
            </w:r>
          </w:p>
        </w:tc>
      </w:tr>
      <w:tr>
        <w:tc>
          <w:tcPr/>
          <w:p>
            <w:pPr>
              <w:pStyle w:val="Compact"/>
              <w:jc w:val="left"/>
            </w:pPr>
            <w:r>
              <w:t xml:space="preserve">Customer Retention Rate</w:t>
            </w:r>
          </w:p>
        </w:tc>
        <w:tc>
          <w:tcPr/>
          <w:p>
            <w:pPr>
              <w:pStyle w:val="Compact"/>
              <w:jc w:val="left"/>
            </w:pPr>
            <w:r>
              <w:t xml:space="preserve">89%</w:t>
            </w:r>
          </w:p>
        </w:tc>
        <w:tc>
          <w:tcPr/>
          <w:p>
            <w:pPr>
              <w:pStyle w:val="Compact"/>
              <w:jc w:val="left"/>
            </w:pPr>
            <w:r>
              <w:t xml:space="preserve">76%</w:t>
            </w:r>
          </w:p>
        </w:tc>
        <w:tc>
          <w:tcPr/>
          <w:p>
            <w:pPr>
              <w:pStyle w:val="Compact"/>
              <w:jc w:val="left"/>
            </w:pPr>
            <w:r>
              <w:t xml:space="preserve">+13.0%</w:t>
            </w:r>
          </w:p>
        </w:tc>
      </w:tr>
    </w:tbl>
    <w:p>
      <w:pPr>
        <w:pStyle w:val="BodyText"/>
      </w:pPr>
      <w:r>
        <w:t xml:space="preserve">The data reveals exceptional performance across all metrics, with the 147% growth in institutional subscriptions highlighting Professor's increasing relevance to Saudi Arabia Jeddah's education ecosystem. Notably, our premium analytics module (Professor Insights) achieved a 92% adoption rate among new university clients—exceeding our target by 32 percentage points.</w:t>
      </w:r>
    </w:p>
    <w:p>
      <w:pPr>
        <w:pStyle w:val="BodyText"/>
      </w:pPr>
      <w:r>
        <w:rPr>
          <w:bCs/>
          <w:b/>
        </w:rPr>
        <w:t xml:space="preserve">Market Differentiation:</w:t>
      </w:r>
      <w:r>
        <w:t xml:space="preserve"> </w:t>
      </w:r>
      <w:r>
        <w:t xml:space="preserve">Unlike competing platforms that offer generic content, Professor's Jeddah-specific implementation includes Arabic-language AI tutors trained on Saudi curriculum benchmarks and culturally relevant case studies. This customization has reduced onboarding time by 40% compared to competitors in the Saudi Arabia Jeddah market.</w:t>
      </w:r>
    </w:p>
    <w:bookmarkEnd w:id="22"/>
    <w:bookmarkStart w:id="25" w:name="customer-success-stories"/>
    <w:p>
      <w:pPr>
        <w:pStyle w:val="Heading2"/>
      </w:pPr>
      <w:r>
        <w:t xml:space="preserve">Customer Success Stories</w:t>
      </w:r>
    </w:p>
    <w:bookmarkStart w:id="23" w:name="X29ca86eb79b89474ad9351df31054fbda2d1958"/>
    <w:p>
      <w:pPr>
        <w:pStyle w:val="Heading3"/>
      </w:pPr>
      <w:r>
        <w:t xml:space="preserve">King Abdullah University of Science and Technology (KAUST)</w:t>
      </w:r>
    </w:p>
    <w:p>
      <w:pPr>
        <w:pStyle w:val="FirstParagraph"/>
      </w:pPr>
      <w:r>
        <w:t xml:space="preserve">Professor implemented its adaptive learning platform across 18 engineering courses serving 4,500 students. The solution's real-time analytics identified at-risk students with 92% accuracy, enabling targeted interventions that improved pass rates by 27% in the first semester. KAUST's Deputy Vice President noted: "Professor has become integral to our digital education strategy in Saudi Arabia Jeddah." This partnership now serves as a flagship reference for our entire Kingdom expansion.</w:t>
      </w:r>
    </w:p>
    <w:bookmarkEnd w:id="23"/>
    <w:bookmarkStart w:id="24" w:name="jeddah-international-school-network"/>
    <w:p>
      <w:pPr>
        <w:pStyle w:val="Heading3"/>
      </w:pPr>
      <w:r>
        <w:t xml:space="preserve">Jeddah International School Network</w:t>
      </w:r>
    </w:p>
    <w:p>
      <w:pPr>
        <w:pStyle w:val="FirstParagraph"/>
      </w:pPr>
      <w:r>
        <w:t xml:space="preserve">After implementing Professor's K-12 module, the network saw 65% reduction in teacher workload through automated assessment features. The platform's parent engagement portal (integrated with popular Saudi apps like Mawid) increased family participation by 88%. A district administrator stated: "Professor transformed how we deliver education in Jeddah—now it's personal, data-driven, and culturally resonant."</w:t>
      </w:r>
    </w:p>
    <w:bookmarkEnd w:id="24"/>
    <w:bookmarkEnd w:id="25"/>
    <w:bookmarkStart w:id="26" w:name="challenges-and-strategic-response"/>
    <w:p>
      <w:pPr>
        <w:pStyle w:val="Heading2"/>
      </w:pPr>
      <w:r>
        <w:t xml:space="preserve">Challenges and Strategic Response</w:t>
      </w:r>
    </w:p>
    <w:p>
      <w:pPr>
        <w:pStyle w:val="FirstParagraph"/>
      </w:pPr>
      <w:r>
        <w:t xml:space="preserve">Initial market entry faced challenges with Saudi Arabia Jeddah's regional implementation requirements. Early feedback indicated that non-localized content was causing adoption resistance in some schools. In response, Professor rapidly developed a dedicated Jeddah Content Center, employing 15 local curriculum experts to adapt materials for the national education system.</w:t>
      </w:r>
    </w:p>
    <w:p>
      <w:pPr>
        <w:pStyle w:val="BodyText"/>
      </w:pPr>
      <w:r>
        <w:t xml:space="preserve">Additionally, we addressed concerns about data sovereignty by establishing a Saudi-hosted cloud infrastructure in Jeddah's newly designated Smart City zone. This compliance with Saudi Data Localization Regulations has been critical to securing government contracts across the Kingdom.</w:t>
      </w:r>
    </w:p>
    <w:p>
      <w:pPr>
        <w:pStyle w:val="BodyText"/>
      </w:pPr>
      <w:r>
        <w:rPr>
          <w:bCs/>
          <w:b/>
        </w:rPr>
        <w:t xml:space="preserve">Operational Insight:</w:t>
      </w:r>
      <w:r>
        <w:t xml:space="preserve"> </w:t>
      </w:r>
      <w:r>
        <w:t xml:space="preserve">Our localized sales team in Jeddah—comprising 8 bilingual consultants fluent in both Arabic and English—has been pivotal. They understand the nuanced decision-making processes within Saudi education ministries, directly contributing to our 89% retention rate.</w:t>
      </w:r>
    </w:p>
    <w:bookmarkEnd w:id="26"/>
    <w:bookmarkStart w:id="27" w:name="recommendations-for-future-growth"/>
    <w:p>
      <w:pPr>
        <w:pStyle w:val="Heading2"/>
      </w:pPr>
      <w:r>
        <w:t xml:space="preserve">Recommendations for Future Growth</w:t>
      </w:r>
    </w:p>
    <w:p>
      <w:pPr>
        <w:pStyle w:val="FirstParagraph"/>
      </w:pPr>
      <w:r>
        <w:t xml:space="preserve">Based on this Sales Report, we recommend three strategic priorities for Professor's expansion in Saudi Arabia Jeddah:</w:t>
      </w:r>
    </w:p>
    <w:p>
      <w:pPr>
        <w:numPr>
          <w:ilvl w:val="0"/>
          <w:numId w:val="1001"/>
        </w:numPr>
        <w:pStyle w:val="Compact"/>
      </w:pPr>
      <w:r>
        <w:rPr>
          <w:bCs/>
          <w:b/>
        </w:rPr>
        <w:t xml:space="preserve">Double Down on Government Partnerships:</w:t>
      </w:r>
      <w:r>
        <w:t xml:space="preserve"> </w:t>
      </w:r>
      <w:r>
        <w:t xml:space="preserve">Leverage the successful KAUST model to pursue contracts with the Ministry of Education's 'Digital Schools' program targeting 500 institutions across Western Region by 2024.</w:t>
      </w:r>
    </w:p>
    <w:p>
      <w:pPr>
        <w:numPr>
          <w:ilvl w:val="0"/>
          <w:numId w:val="1001"/>
        </w:numPr>
        <w:pStyle w:val="Compact"/>
      </w:pPr>
      <w:r>
        <w:rPr>
          <w:bCs/>
          <w:b/>
        </w:rPr>
        <w:t xml:space="preserve">Develop Jeddah-Specific Content:</w:t>
      </w:r>
      <w:r>
        <w:t xml:space="preserve"> </w:t>
      </w:r>
      <w:r>
        <w:t xml:space="preserve">Create specialized modules for Saudi vocational training institutes (e.g., healthcare and technical certifications aligned with Vision 2030), where demand exceeds supply by 187%.</w:t>
      </w:r>
    </w:p>
    <w:p>
      <w:pPr>
        <w:numPr>
          <w:ilvl w:val="0"/>
          <w:numId w:val="1001"/>
        </w:numPr>
        <w:pStyle w:val="Compact"/>
      </w:pPr>
      <w:r>
        <w:rPr>
          <w:bCs/>
          <w:b/>
        </w:rPr>
        <w:t xml:space="preserve">Establish a Jeddah Innovation Hub:</w:t>
      </w:r>
      <w:r>
        <w:t xml:space="preserve"> </w:t>
      </w:r>
      <w:r>
        <w:t xml:space="preserve">Open a physical R&amp;D center in the city's Education Zone to co-develop solutions with Saudi educators, accelerating product adaptation cycles by 60%.</w:t>
      </w:r>
    </w:p>
    <w:p>
      <w:pPr>
        <w:pStyle w:val="FirstParagraph"/>
      </w:pPr>
      <w:r>
        <w:t xml:space="preserve">These initiatives directly support Vision 2030's education transformation goals while positioning Professor as the indispensable partner for digital learning in Saudi Arabia Jeddah.</w:t>
      </w:r>
    </w:p>
    <w:bookmarkEnd w:id="27"/>
    <w:bookmarkStart w:id="28" w:name="conclusion"/>
    <w:p>
      <w:pPr>
        <w:pStyle w:val="Heading2"/>
      </w:pPr>
      <w:r>
        <w:t xml:space="preserve">Conclusion</w:t>
      </w:r>
    </w:p>
    <w:p>
      <w:pPr>
        <w:pStyle w:val="FirstParagraph"/>
      </w:pPr>
      <w:r>
        <w:t xml:space="preserve">This Sales Report unequivocally confirms that Professor has achieved market leadership in Saudi Arabia Jeddah's education technology sector. The 68% YoY growth, 89% retention rate, and strategic partnerships across universities and schools demonstrate our platform's deep alignment with local educational needs. As the Kingdom accelerates digital transformation through Vision 2030, Professor stands ready to expand its impact beyond Jeddah into all regions of Saudi Arabia.</w:t>
      </w:r>
    </w:p>
    <w:p>
      <w:pPr>
        <w:pStyle w:val="BodyText"/>
      </w:pPr>
      <w:r>
        <w:t xml:space="preserve">Our success in Jeddah serves as the blueprint for national expansion—proving that culturally intelligent technology solutions can drive meaningful educational outcomes while meeting Saudi regulatory standards. The future of education in Saudi Arabia is digital, personalized, and locally rooted—and Professor is at the forefront of this transformation in Jeddah, where we have built not just a product presence but an enduring educational partnership.</w:t>
      </w:r>
    </w:p>
    <w:p>
      <w:pPr>
        <w:pStyle w:val="BodyText"/>
      </w:pPr>
      <w:r>
        <w:t xml:space="preserve">As we move into Q2 2023, Professor will focus on scaling its Jeddah success across Saudi Arabia while maintaining the exceptional service levels that made this Sales Report possible. The city of Jeddah continues to prove itself as the heartbeat of educational innovation in our Saudi Kingdom strategy.</w:t>
      </w:r>
    </w:p>
    <w:bookmarkEnd w:id="28"/>
    <w:p>
      <w:pPr>
        <w:pStyle w:val="BodyText"/>
      </w:pPr>
      <w:r>
        <w:t xml:space="preserve">Confidential: Prepared for Professor Executive Leadership Team | Date: April 15, 2023 | Report Reference: PRO-SALES-JED-2023-Q1</w:t>
      </w:r>
    </w:p>
    <w:p>
      <w:pPr>
        <w:pStyle w:val="BodyText"/>
      </w:pPr>
      <w:r>
        <w:t xml:space="preserve">This Sales Report is exclusively for internal use by Professor and Saudi Arabia Jeddah stakeholders. All metrics are verified against Ministry of Education data and institutional performance records.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in Saudi Arabia Jeddah</dc:title>
  <dc:creator/>
  <dc:language>en</dc:language>
  <cp:keywords/>
  <dcterms:created xsi:type="dcterms:W3CDTF">2026-07-23T19:15:25Z</dcterms:created>
  <dcterms:modified xsi:type="dcterms:W3CDTF">2026-07-23T19:15:25Z</dcterms:modified>
</cp:coreProperties>
</file>

<file path=docProps/custom.xml><?xml version="1.0" encoding="utf-8"?>
<Properties xmlns="http://schemas.openxmlformats.org/officeDocument/2006/custom-properties" xmlns:vt="http://schemas.openxmlformats.org/officeDocument/2006/docPropsVTypes"/>
</file>