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4e35715939f7ed0a3d73fb43e0ddb8d98cf5212"/>
    <w:p>
      <w:pPr>
        <w:pStyle w:val="Heading1"/>
      </w:pPr>
      <w:r>
        <w:t xml:space="preserve">Comprehensive Sales Report: Professor Educational Platform in Saudi Arabia Riyadh Market</w:t>
      </w:r>
    </w:p>
    <w:bookmarkStart w:id="20" w:name="executive-summary"/>
    <w:p>
      <w:pPr>
        <w:pStyle w:val="Heading2"/>
      </w:pPr>
      <w:r>
        <w:t xml:space="preserve">Executive Summary</w:t>
      </w:r>
    </w:p>
    <w:p>
      <w:pPr>
        <w:pStyle w:val="FirstParagraph"/>
      </w:pPr>
      <w:r>
        <w:t xml:space="preserve">This Sales Report details the performance of the "Professor" AI-driven educational platform across Riyadh, Saudi Arabia during Q3 2023. The report confirms significant market penetration and strategic growth for our flagship product within the Kingdom's rapidly evolving education sector. With Riyadh serving as the economic and administrative capital, this Sales Report underscores Professor's successful alignment with Vision 2030 initiatives driving digital transformation in Saudi educational institutions. We achieved a 47% year-over-year sales increase, securing contracts with 18 major schools and universities across Riyadh while establishing Professor as a leading edtech solution in the region.</w:t>
      </w:r>
    </w:p>
    <w:bookmarkEnd w:id="20"/>
    <w:bookmarkStart w:id="21" w:name="Xa6579f8c1a63fe6ec9cc0be625f3a7887f325f0"/>
    <w:p>
      <w:pPr>
        <w:pStyle w:val="Heading2"/>
      </w:pPr>
      <w:r>
        <w:t xml:space="preserve">Market Context: Professor's Strategic Positioning in Riyadh</w:t>
      </w:r>
    </w:p>
    <w:p>
      <w:pPr>
        <w:pStyle w:val="FirstParagraph"/>
      </w:pPr>
      <w:r>
        <w:t xml:space="preserve">Riyadh represents the critical growth engine for our business expansion within Saudi Arabia, home to 35% of the Kingdom's population and hosting over 150 educational institutions. The "Professor" platform was specifically redesigned to address Saudi Arabia's unique educational requirements following extensive market research in Riyadh. Key adaptations include Arabic language interface optimization, alignment with Ministry of Education curricula, and culturally sensitive AI interaction protocols approved by Saudi education authorities. This localized approach directly contributed to our 72% client retention rate among Riyadh institutions – significantly above the industry average of 58%.</w:t>
      </w:r>
    </w:p>
    <w:bookmarkEnd w:id="21"/>
    <w:bookmarkStart w:id="22" w:name="performance-highlights-q3-2023"/>
    <w:p>
      <w:pPr>
        <w:pStyle w:val="Heading2"/>
      </w:pPr>
      <w:r>
        <w:t xml:space="preserve">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Achieved</w:t>
            </w:r>
          </w:p>
        </w:tc>
      </w:tr>
      <w:tr>
        <w:tc>
          <w:tcPr/>
          <w:p>
            <w:pPr>
              <w:pStyle w:val="Compact"/>
              <w:jc w:val="left"/>
            </w:pPr>
            <w:r>
              <w:t xml:space="preserve">Total Revenue (SAR)</w:t>
            </w:r>
          </w:p>
        </w:tc>
        <w:tc>
          <w:tcPr/>
          <w:p>
            <w:pPr>
              <w:pStyle w:val="Compact"/>
              <w:jc w:val="left"/>
            </w:pPr>
            <w:r>
              <w:t xml:space="preserve">18,750,000</w:t>
            </w:r>
          </w:p>
        </w:tc>
        <w:tc>
          <w:tcPr/>
          <w:p>
            <w:pPr>
              <w:pStyle w:val="Compact"/>
              <w:jc w:val="left"/>
            </w:pPr>
            <w:r>
              <w:t xml:space="preserve">+47%</w:t>
            </w:r>
          </w:p>
        </w:tc>
        <w:tc>
          <w:tcPr/>
          <w:p>
            <w:pPr>
              <w:pStyle w:val="Compact"/>
              <w:jc w:val="left"/>
            </w:pPr>
            <w:r>
              <w:t xml:space="preserve">123% of Target</w:t>
            </w:r>
          </w:p>
        </w:tc>
      </w:tr>
      <w:tr>
        <w:tc>
          <w:tcPr/>
          <w:p>
            <w:pPr>
              <w:pStyle w:val="Compact"/>
              <w:jc w:val="left"/>
            </w:pPr>
            <w:r>
              <w:t xml:space="preserve">New Institutional Clients in Riyadh</w:t>
            </w:r>
          </w:p>
        </w:tc>
        <w:tc>
          <w:tcPr/>
          <w:p>
            <w:pPr>
              <w:pStyle w:val="Compact"/>
              <w:jc w:val="left"/>
            </w:pPr>
            <w:r>
              <w:t xml:space="preserve">18</w:t>
            </w:r>
          </w:p>
        </w:tc>
        <w:tc>
          <w:tcPr/>
          <w:p>
            <w:pPr>
              <w:pStyle w:val="Compact"/>
              <w:jc w:val="left"/>
            </w:pPr>
            <w:r>
              <w:t xml:space="preserve">+92%</w:t>
            </w:r>
          </w:p>
        </w:tc>
        <w:tc>
          <w:tcPr/>
          <w:p>
            <w:pPr>
              <w:pStyle w:val="Compact"/>
            </w:pPr>
          </w:p>
        </w:tc>
      </w:tr>
      <w:tr>
        <w:tc>
          <w:tcPr/>
          <w:p>
            <w:pPr>
              <w:pStyle w:val="Compact"/>
              <w:jc w:val="left"/>
            </w:pPr>
            <w:r>
              <w:t xml:space="preserve">Includes 3 major universities (King Saud University, Alfaisal University, and King Abdullah University of Science &amp; Technology)</w:t>
            </w:r>
          </w:p>
        </w:tc>
        <w:tc>
          <w:tcPr/>
          <w:p>
            <w:pPr>
              <w:pStyle w:val="Compact"/>
            </w:pPr>
          </w:p>
        </w:tc>
        <w:tc>
          <w:tcPr/>
          <w:p>
            <w:pPr>
              <w:pStyle w:val="Compact"/>
            </w:pPr>
          </w:p>
        </w:tc>
        <w:tc>
          <w:tcPr/>
          <w:p>
            <w:pPr>
              <w:pStyle w:val="Compact"/>
            </w:pPr>
          </w:p>
        </w:tc>
      </w:tr>
      <w:tr>
        <w:tc>
          <w:tcPr/>
          <w:p>
            <w:pPr>
              <w:pStyle w:val="Compact"/>
              <w:jc w:val="left"/>
            </w:pPr>
            <w:r>
              <w:t xml:space="preserve">Subscription Renewal Rate</w:t>
            </w:r>
          </w:p>
        </w:tc>
        <w:tc>
          <w:tcPr/>
          <w:p>
            <w:pPr>
              <w:pStyle w:val="Compact"/>
              <w:jc w:val="left"/>
            </w:pPr>
            <w:r>
              <w:t xml:space="preserve">72%</w:t>
            </w:r>
          </w:p>
        </w:tc>
        <w:tc>
          <w:tcPr/>
          <w:p>
            <w:pPr>
              <w:pStyle w:val="Compact"/>
              <w:jc w:val="left"/>
            </w:pPr>
            <w:r>
              <w:t xml:space="preserve">+18% YoY</w:t>
            </w:r>
          </w:p>
        </w:tc>
        <w:tc>
          <w:tcPr/>
          <w:p>
            <w:pPr>
              <w:pStyle w:val="Compact"/>
              <w:jc w:val="left"/>
            </w:pPr>
            <w:r>
              <w:t xml:space="preserve">Exceeds 65% Industry Benchmark</w:t>
            </w:r>
          </w:p>
        </w:tc>
      </w:tr>
    </w:tbl>
    <w:bookmarkEnd w:id="22"/>
    <w:bookmarkStart w:id="23" w:name="Xde3a789ac81bb8a292e1c797b1bad26eb2c9457"/>
    <w:p>
      <w:pPr>
        <w:pStyle w:val="Heading2"/>
      </w:pPr>
      <w:r>
        <w:t xml:space="preserve">Strategic Initiatives Driving Professor's Success in Saudi Arabia Riyadh</w:t>
      </w:r>
    </w:p>
    <w:p>
      <w:pPr>
        <w:pStyle w:val="FirstParagraph"/>
      </w:pPr>
      <w:r>
        <w:t xml:space="preserve">The sales team implemented three critical Riyadh-specific initiatives that directly fueled our growth:</w:t>
      </w:r>
    </w:p>
    <w:p>
      <w:pPr>
        <w:numPr>
          <w:ilvl w:val="0"/>
          <w:numId w:val="1001"/>
        </w:numPr>
        <w:pStyle w:val="Compact"/>
      </w:pPr>
      <w:r>
        <w:rPr>
          <w:bCs/>
          <w:b/>
        </w:rPr>
        <w:t xml:space="preserve">Cultural Partnership Program:</w:t>
      </w:r>
      <w:r>
        <w:t xml:space="preserve"> </w:t>
      </w:r>
      <w:r>
        <w:t xml:space="preserve">Collaborated with the King Abdullah Education City to integrate Professor into their digital literacy curriculum. This partnership, secured through official Ministry of Education channels, provided immediate credibility and access to 42,000 students across Riyadh's premier institutions.</w:t>
      </w:r>
    </w:p>
    <w:p>
      <w:pPr>
        <w:numPr>
          <w:ilvl w:val="0"/>
          <w:numId w:val="1001"/>
        </w:numPr>
        <w:pStyle w:val="Compact"/>
      </w:pPr>
      <w:r>
        <w:rPr>
          <w:bCs/>
          <w:b/>
        </w:rPr>
        <w:t xml:space="preserve">Riyadh EdTech Summit Engagement:</w:t>
      </w:r>
      <w:r>
        <w:t xml:space="preserve"> </w:t>
      </w:r>
      <w:r>
        <w:t xml:space="preserve">Hosted a flagship event at the Riyadh International Exhibition Centre attracting 217 educational decision-makers. The "Professor: Transforming Saudi Classrooms" conference featured live platform demonstrations tailored to Saudi Arabia's teaching methodologies, generating 83 qualified leads within 48 hours.</w:t>
      </w:r>
    </w:p>
    <w:p>
      <w:pPr>
        <w:numPr>
          <w:ilvl w:val="0"/>
          <w:numId w:val="1001"/>
        </w:numPr>
        <w:pStyle w:val="Compact"/>
      </w:pPr>
      <w:r>
        <w:rPr>
          <w:bCs/>
          <w:b/>
        </w:rPr>
        <w:t xml:space="preserve">Saudi Localization Framework:</w:t>
      </w:r>
      <w:r>
        <w:t xml:space="preserve"> </w:t>
      </w:r>
      <w:r>
        <w:t xml:space="preserve">Developed a dedicated Riyadh support hub with Arabic-speaking technical specialists trained in Saudi educational standards. This reduced response time to client inquiries from 72 hours to under 12 hours – a key differentiator in the competitive Saudi edtech landscape.</w:t>
      </w:r>
    </w:p>
    <w:bookmarkEnd w:id="23"/>
    <w:bookmarkStart w:id="24" w:name="X05514686228da500cd126450655e996f19820e0"/>
    <w:p>
      <w:pPr>
        <w:pStyle w:val="Heading2"/>
      </w:pPr>
      <w:r>
        <w:t xml:space="preserve">Market Analysis: Why Riyadh Dominates Professor's Saudi Arabia Strategy</w:t>
      </w:r>
    </w:p>
    <w:p>
      <w:pPr>
        <w:pStyle w:val="FirstParagraph"/>
      </w:pPr>
      <w:r>
        <w:t xml:space="preserve">Riyadh's status as the Kingdom's education hub makes it indispensable for our Sales Report analysis. The city accounts for 63% of all Saudi educational technology investments and hosts the highest concentration of private schools adopting digital solutions. Our market intelligence reveals three Riyadh-specific trends driving Professor adoption:</w:t>
      </w:r>
    </w:p>
    <w:p>
      <w:pPr>
        <w:numPr>
          <w:ilvl w:val="0"/>
          <w:numId w:val="1002"/>
        </w:numPr>
        <w:pStyle w:val="Compact"/>
      </w:pPr>
      <w:r>
        <w:rPr>
          <w:bCs/>
          <w:b/>
        </w:rPr>
        <w:t xml:space="preserve">Government Mandates:</w:t>
      </w:r>
      <w:r>
        <w:t xml:space="preserve"> </w:t>
      </w:r>
      <w:r>
        <w:t xml:space="preserve">The National Transformation Program requires all public schools to implement AI-supported learning tools by 2025 – positioning Professor as a strategic partner for compliance.</w:t>
      </w:r>
    </w:p>
    <w:p>
      <w:pPr>
        <w:numPr>
          <w:ilvl w:val="0"/>
          <w:numId w:val="1002"/>
        </w:numPr>
        <w:pStyle w:val="Compact"/>
      </w:pPr>
      <w:r>
        <w:rPr>
          <w:bCs/>
          <w:b/>
        </w:rPr>
        <w:t xml:space="preserve">Parental Demand Shift:</w:t>
      </w:r>
      <w:r>
        <w:t xml:space="preserve"> </w:t>
      </w:r>
      <w:r>
        <w:t xml:space="preserve">68% of Riyadh parents (per Jeddah Market Research, Q3 2023) now prioritize digital learning platforms when selecting schools, creating strong institutional pressure to adopt solutions like Professor.</w:t>
      </w:r>
    </w:p>
    <w:p>
      <w:pPr>
        <w:numPr>
          <w:ilvl w:val="0"/>
          <w:numId w:val="1002"/>
        </w:numPr>
        <w:pStyle w:val="Compact"/>
      </w:pPr>
      <w:r>
        <w:rPr>
          <w:bCs/>
          <w:b/>
        </w:rPr>
        <w:t xml:space="preserve">Talent Ecosystem:</w:t>
      </w:r>
      <w:r>
        <w:t xml:space="preserve"> </w:t>
      </w:r>
      <w:r>
        <w:t xml:space="preserve">Riyadh's growing pool of Saudi tech talent has reduced implementation costs by 34% compared to other regions, enabling faster classroom deployment for Professor across the city.</w:t>
      </w:r>
    </w:p>
    <w:bookmarkEnd w:id="24"/>
    <w:bookmarkStart w:id="25" w:name="X30f5c041e3412ed321c757bbd9291c03e930216"/>
    <w:p>
      <w:pPr>
        <w:pStyle w:val="Heading2"/>
      </w:pPr>
      <w:r>
        <w:t xml:space="preserve">Challenges Overcome in Saudi Arabia Riyadh Market</w:t>
      </w:r>
    </w:p>
    <w:p>
      <w:pPr>
        <w:pStyle w:val="FirstParagraph"/>
      </w:pPr>
      <w:r>
        <w:t xml:space="preserve">Our Sales Report acknowledges significant hurdles navigated during Q3 2023. The primary challenge was navigating complex procurement processes within Saudi government education entities. To overcome this, we implemented a specialized "Riyadh Compliance Team" that mastered the Ministry of Education's tender requirements, reducing approval timelines from 9 months to 4 months. Another critical barrier was addressing cultural preferences for teacher autonomy – resolved through Professor's customizable interface allowing Riyadh educators to maintain pedagogical control while utilizing AI insights.</w:t>
      </w:r>
    </w:p>
    <w:bookmarkEnd w:id="25"/>
    <w:bookmarkStart w:id="26" w:name="X6ef2bbcd8e41f28f28201b152bf94818c7786e6"/>
    <w:p>
      <w:pPr>
        <w:pStyle w:val="Heading2"/>
      </w:pPr>
      <w:r>
        <w:t xml:space="preserve">Future Outlook: Scaling Professor in Saudi Arabia Riyadh</w:t>
      </w:r>
    </w:p>
    <w:p>
      <w:pPr>
        <w:pStyle w:val="FirstParagraph"/>
      </w:pPr>
      <w:r>
        <w:t xml:space="preserve">Building on Q3 success, the 2024 sales strategy focuses on three Riyadh-centric priorities:</w:t>
      </w:r>
    </w:p>
    <w:p>
      <w:pPr>
        <w:numPr>
          <w:ilvl w:val="0"/>
          <w:numId w:val="1003"/>
        </w:numPr>
        <w:pStyle w:val="Compact"/>
      </w:pPr>
      <w:r>
        <w:rPr>
          <w:bCs/>
          <w:b/>
        </w:rPr>
        <w:t xml:space="preserve">Expansion into Private Sector Schools:</w:t>
      </w:r>
      <w:r>
        <w:t xml:space="preserve"> </w:t>
      </w:r>
      <w:r>
        <w:t xml:space="preserve">Targeting 35 additional premium private schools across Riyadh suburbs (King Abdullah Economic City, Al Khobar) with specialized packages for English-medium institutions.</w:t>
      </w:r>
    </w:p>
    <w:p>
      <w:pPr>
        <w:numPr>
          <w:ilvl w:val="0"/>
          <w:numId w:val="1003"/>
        </w:numPr>
        <w:pStyle w:val="Compact"/>
      </w:pPr>
      <w:r>
        <w:rPr>
          <w:bCs/>
          <w:b/>
        </w:rPr>
        <w:t xml:space="preserve">Riyadh AI Education Consortium:</w:t>
      </w:r>
      <w:r>
        <w:t xml:space="preserve"> </w:t>
      </w:r>
      <w:r>
        <w:t xml:space="preserve">Leading a partnership between Professor and 10 major Riyadh universities to develop Saudi-specific AI teacher training programs – directly supporting Vision 2030's human capital goals.</w:t>
      </w:r>
    </w:p>
    <w:p>
      <w:pPr>
        <w:numPr>
          <w:ilvl w:val="0"/>
          <w:numId w:val="1003"/>
        </w:numPr>
        <w:pStyle w:val="Compact"/>
      </w:pPr>
      <w:r>
        <w:rPr>
          <w:bCs/>
          <w:b/>
        </w:rPr>
        <w:t xml:space="preserve">Saudi Localization Upgrade:</w:t>
      </w:r>
      <w:r>
        <w:t xml:space="preserve"> </w:t>
      </w:r>
      <w:r>
        <w:t xml:space="preserve">Launching version 3.0 of Professor with enhanced Arabic dialect support and integration capabilities for Saudi Ministry of Education systems by Q2 2024.</w:t>
      </w:r>
    </w:p>
    <w:bookmarkEnd w:id="26"/>
    <w:bookmarkStart w:id="27" w:name="Xe63129bec8ca4300a4e110326a382bf5af8bf56"/>
    <w:p>
      <w:pPr>
        <w:pStyle w:val="Heading2"/>
      </w:pPr>
      <w:r>
        <w:t xml:space="preserve">Conclusion: The Professor Advantage in Riyadh</w:t>
      </w:r>
    </w:p>
    <w:p>
      <w:pPr>
        <w:pStyle w:val="FirstParagraph"/>
      </w:pPr>
      <w:r>
        <w:t xml:space="preserve">This Sales Report unequivocally demonstrates that "Professor" has become the preferred educational technology solution for Riyadh's dynamic education market. Our success stems from deep cultural intelligence, strategic alignment with Saudi Arabia's Vision 2030 objectives, and a Riyadh-focused operational model that addresses local pain points. The 47% revenue growth in Q3 marks Professor as not just a product but an essential partner in transforming Saudi educational outcomes. As Riyadh continues to lead the Kingdom's digital education revolution, Professor stands positioned for exponential growth – with 2024 projections indicating potential revenue of SAR 75 million from Riyadh alone.</w:t>
      </w:r>
    </w:p>
    <w:p>
      <w:pPr>
        <w:pStyle w:val="BodyText"/>
      </w:pPr>
      <w:r>
        <w:t xml:space="preserve">The strategic focus on Saudi Arabia Riyadh has proven to be the most effective market entry model for our global expansion. This Sales Report confirms that localized execution, cultural authenticity, and visionary alignment with Kingdom priorities create sustainable competitive advantage – making Professor synonymous with educational excellence across Saudi Arabia's most important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in Saudi Arabia Riyadh</dc:title>
  <dc:creator/>
  <dc:language>en</dc:language>
  <cp:keywords/>
  <dcterms:created xsi:type="dcterms:W3CDTF">2026-07-21T04:11:19Z</dcterms:created>
  <dcterms:modified xsi:type="dcterms:W3CDTF">2026-07-21T04:11:19Z</dcterms:modified>
</cp:coreProperties>
</file>

<file path=docProps/custom.xml><?xml version="1.0" encoding="utf-8"?>
<Properties xmlns="http://schemas.openxmlformats.org/officeDocument/2006/custom-properties" xmlns:vt="http://schemas.openxmlformats.org/officeDocument/2006/docPropsVTypes"/>
</file>