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Product</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8" w:name="X213646d7fcd8af0dd26672dc56baaeee71814e7"/>
    <w:p>
      <w:pPr>
        <w:pStyle w:val="Heading1"/>
      </w:pPr>
      <w:r>
        <w:t xml:space="preserve">SALES REPORT: PROFESSOR PRODUCT PERFORMANCE IN TURKEY ANKARA MARKET</w:t>
      </w:r>
    </w:p>
    <w:p>
      <w:pPr>
        <w:pStyle w:val="FirstParagraph"/>
      </w:pPr>
      <w:r>
        <w:t xml:space="preserve">Prepared for Strategic Leadership Team • Date: October 26, 2023 • Confidential</w:t>
      </w:r>
    </w:p>
    <w:bookmarkStart w:id="20" w:name="executive-summary"/>
    <w:p>
      <w:pPr>
        <w:pStyle w:val="Heading2"/>
      </w:pPr>
      <w:r>
        <w:t xml:space="preserve">Executive Summary</w:t>
      </w:r>
    </w:p>
    <w:p>
      <w:pPr>
        <w:pStyle w:val="FirstParagraph"/>
      </w:pPr>
      <w:r>
        <w:t xml:space="preserve">This comprehensive Sales Report details the performance of our flagship educational technology product, "Professor," across the Ankara market in Turkey. The report confirms that Professor has achieved remarkable traction since its market entry in January 2023, establishing itself as a preferred solution for higher education institutions. With a 38% year-over-year growth rate and consistent adoption by major universities in Ankara, this Sales Report underscores Professor's strategic importance to our Turkish market expansion. The data presented here validates our targeted approach to Turkey Ankara as the critical hub for educational innovation across the nation.</w:t>
      </w:r>
    </w:p>
    <w:bookmarkEnd w:id="20"/>
    <w:bookmarkStart w:id="21" w:name="market-context-in-turkey-ankara"/>
    <w:p>
      <w:pPr>
        <w:pStyle w:val="Heading2"/>
      </w:pPr>
      <w:r>
        <w:t xml:space="preserve">Market Context in Turkey Ankara</w:t>
      </w:r>
    </w:p>
    <w:p>
      <w:pPr>
        <w:pStyle w:val="FirstParagraph"/>
      </w:pPr>
      <w:r>
        <w:t xml:space="preserve">Ankara represents Turkey's second-largest education hub after Istanbul, housing 17 major universities including Hacettepe University, Middle East Technical University (METU), and Bilkent University. With over 600,000 students enrolled across these institutions, the Ankara market presents a critical opportunity for educational technology solutions. The Turkish Ministry of National Education's recent digital transformation initiative has further accelerated demand for intelligent teaching platforms like Professor. This Sales Report highlights how our product has strategically aligned with Turkey's national educational priorities while dominating the Ankara campus ecosystem.</w:t>
      </w:r>
    </w:p>
    <w:bookmarkEnd w:id="21"/>
    <w:bookmarkStart w:id="22" w:name="X0730b6f937b9507b9a96e31d172d0ee9349465c"/>
    <w:p>
      <w:pPr>
        <w:pStyle w:val="Heading2"/>
      </w:pPr>
      <w:r>
        <w:t xml:space="preserve">Sales Performance Analysis (January-September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Metric</w:t>
            </w:r>
          </w:p>
        </w:tc>
        <w:tc>
          <w:tcPr/>
          <w:p>
            <w:pPr>
              <w:pStyle w:val="Compact"/>
              <w:jc w:val="left"/>
            </w:pPr>
            <w:r>
              <w:t xml:space="preserve">Q1 2023</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YTD Growth</w:t>
            </w:r>
          </w:p>
        </w:tc>
      </w:tr>
      <w:tr>
        <w:tc>
          <w:tcPr/>
          <w:p>
            <w:pPr>
              <w:pStyle w:val="Compact"/>
              <w:jc w:val="left"/>
            </w:pPr>
            <w:r>
              <w:t xml:space="preserve">New University Contracts</w:t>
            </w:r>
          </w:p>
        </w:tc>
        <w:tc>
          <w:tcPr/>
          <w:p>
            <w:pPr>
              <w:pStyle w:val="Compact"/>
              <w:jc w:val="left"/>
            </w:pPr>
            <w:r>
              <w:t xml:space="preserve">3</w:t>
            </w:r>
          </w:p>
        </w:tc>
        <w:tc>
          <w:tcPr/>
          <w:p>
            <w:pPr>
              <w:pStyle w:val="Compact"/>
              <w:jc w:val="left"/>
            </w:pPr>
            <w:r>
              <w:t xml:space="preserve">7</w:t>
            </w:r>
          </w:p>
        </w:tc>
        <w:tc>
          <w:tcPr/>
          <w:p>
            <w:pPr>
              <w:pStyle w:val="Compact"/>
              <w:jc w:val="left"/>
            </w:pPr>
            <w:r>
              <w:t xml:space="preserve">9</w:t>
            </w:r>
          </w:p>
        </w:tc>
        <w:tc>
          <w:tcPr/>
          <w:p>
            <w:pPr>
              <w:pStyle w:val="Compact"/>
              <w:jc w:val="left"/>
            </w:pPr>
            <w:r>
              <w:t xml:space="preserve">38%</w:t>
            </w:r>
          </w:p>
        </w:tc>
      </w:tr>
      <w:tr>
        <w:tc>
          <w:tcPr/>
          <w:p>
            <w:pPr>
              <w:pStyle w:val="Compact"/>
              <w:jc w:val="left"/>
            </w:pPr>
            <w:r>
              <w:t xml:space="preserve">Active Campus Users</w:t>
            </w:r>
          </w:p>
        </w:tc>
        <w:tc>
          <w:tcPr/>
          <w:p>
            <w:pPr>
              <w:pStyle w:val="Compact"/>
              <w:jc w:val="left"/>
            </w:pPr>
            <w:r>
              <w:t xml:space="preserve">2,150</w:t>
            </w:r>
          </w:p>
        </w:tc>
        <w:tc>
          <w:tcPr/>
          <w:p>
            <w:pPr>
              <w:pStyle w:val="Compact"/>
              <w:jc w:val="left"/>
            </w:pPr>
            <w:r>
              <w:t xml:space="preserve">4,320</w:t>
            </w:r>
          </w:p>
        </w:tc>
        <w:tc>
          <w:tcPr/>
          <w:p>
            <w:pPr>
              <w:pStyle w:val="Compact"/>
              <w:jc w:val="left"/>
            </w:pPr>
            <w:r>
              <w:t xml:space="preserve">7,895</w:t>
            </w:r>
          </w:p>
        </w:tc>
        <w:tc>
          <w:tcPr/>
          <w:p>
            <w:pPr>
              <w:pStyle w:val="Compact"/>
              <w:jc w:val="left"/>
            </w:pPr>
            <w:r>
              <w:t xml:space="preserve">364%</w:t>
            </w:r>
          </w:p>
        </w:tc>
      </w:tr>
      <w:tr>
        <w:tc>
          <w:tcPr/>
          <w:p>
            <w:pPr>
              <w:pStyle w:val="Compact"/>
              <w:jc w:val="left"/>
            </w:pPr>
            <w:r>
              <w:t xml:space="preserve">Revenue Generated</w:t>
            </w:r>
          </w:p>
        </w:tc>
        <w:tc>
          <w:tcPr/>
          <w:p>
            <w:pPr>
              <w:pStyle w:val="Compact"/>
              <w:jc w:val="left"/>
            </w:pPr>
            <w:r>
              <w:t xml:space="preserve">$42,500</w:t>
            </w:r>
          </w:p>
        </w:tc>
        <w:tc>
          <w:tcPr/>
          <w:p>
            <w:pPr>
              <w:pStyle w:val="Compact"/>
              <w:jc w:val="left"/>
            </w:pPr>
            <w:r>
              <w:t xml:space="preserve">$78,300</w:t>
            </w:r>
          </w:p>
        </w:tc>
        <w:tc>
          <w:tcPr/>
          <w:p>
            <w:pPr>
              <w:pStyle w:val="Compact"/>
              <w:jc w:val="left"/>
            </w:pPr>
            <w:r>
              <w:t xml:space="preserve">$142,650</w:t>
            </w:r>
          </w:p>
        </w:tc>
        <w:tc>
          <w:tcPr/>
          <w:p>
            <w:pPr>
              <w:pStyle w:val="Compact"/>
              <w:jc w:val="left"/>
            </w:pPr>
            <w:r>
              <w:t xml:space="preserve">334%</w:t>
            </w:r>
          </w:p>
        </w:tc>
      </w:tr>
    </w:tbl>
    <w:p>
      <w:pPr>
        <w:pStyle w:val="BodyText"/>
      </w:pPr>
      <w:r>
        <w:t xml:space="preserve">The data reveals Professor's accelerating adoption in Turkey Ankara, with the third quarter showing exceptional growth as all major institutions in the capital city now integrate our platform. Notably, 89% of new contracts were secured through direct university procurement channels—demonstrating strong institutional trust in Professor's capabilities.</w:t>
      </w:r>
    </w:p>
    <w:bookmarkEnd w:id="22"/>
    <w:bookmarkStart w:id="23" w:name="Xd59a1872ac8fcb88df05c45c39f7a1c0501e21b"/>
    <w:p>
      <w:pPr>
        <w:pStyle w:val="Heading2"/>
      </w:pPr>
      <w:r>
        <w:t xml:space="preserve">Professor Product Differentiation in Ankara Market</w:t>
      </w:r>
    </w:p>
    <w:p>
      <w:pPr>
        <w:pStyle w:val="FirstParagraph"/>
      </w:pPr>
      <w:r>
        <w:t xml:space="preserve">What sets Professor apart in the Turkey Ankara education landscape is its unique adaptation to local pedagogical needs. Our AI-driven platform features:</w:t>
      </w:r>
    </w:p>
    <w:p>
      <w:pPr>
        <w:numPr>
          <w:ilvl w:val="0"/>
          <w:numId w:val="1001"/>
        </w:numPr>
        <w:pStyle w:val="Compact"/>
      </w:pPr>
      <w:r>
        <w:rPr>
          <w:bCs/>
          <w:b/>
        </w:rPr>
        <w:t xml:space="preserve">Turkish Language NLP Integration:</w:t>
      </w:r>
      <w:r>
        <w:t xml:space="preserve"> </w:t>
      </w:r>
      <w:r>
        <w:t xml:space="preserve">Real-time translation and content analysis for Turkish-medium instruction</w:t>
      </w:r>
    </w:p>
    <w:p>
      <w:pPr>
        <w:numPr>
          <w:ilvl w:val="0"/>
          <w:numId w:val="1001"/>
        </w:numPr>
        <w:pStyle w:val="Compact"/>
      </w:pPr>
      <w:r>
        <w:rPr>
          <w:bCs/>
          <w:b/>
        </w:rPr>
        <w:t xml:space="preserve">Cultural Context Engine:</w:t>
      </w:r>
      <w:r>
        <w:t xml:space="preserve"> </w:t>
      </w:r>
      <w:r>
        <w:t xml:space="preserve">Curriculum alignment with Turkey's national education standards (Meb)</w:t>
      </w:r>
    </w:p>
    <w:p>
      <w:pPr>
        <w:numPr>
          <w:ilvl w:val="0"/>
          <w:numId w:val="1001"/>
        </w:numPr>
        <w:pStyle w:val="Compact"/>
      </w:pPr>
      <w:r>
        <w:rPr>
          <w:bCs/>
          <w:b/>
        </w:rPr>
        <w:t xml:space="preserve">Offline-First Architecture:</w:t>
      </w:r>
      <w:r>
        <w:t xml:space="preserve"> </w:t>
      </w:r>
      <w:r>
        <w:t xml:space="preserve">Critical for Ankara's variable campus internet infrastructure</w:t>
      </w:r>
    </w:p>
    <w:p>
      <w:pPr>
        <w:pStyle w:val="FirstParagraph"/>
      </w:pPr>
      <w:r>
        <w:t xml:space="preserve">This localized approach has directly addressed pain points identified in our market research, where 76% of Turkish educators cited language barriers as their primary obstacle to adopting foreign edtech solutions. The Sales Report confirms that Professor's cultural adaptation has been the key driver of its 92% customer retention rate in Ankara.</w:t>
      </w:r>
    </w:p>
    <w:bookmarkEnd w:id="23"/>
    <w:bookmarkStart w:id="24" w:name="Xe61924e515689471a23517ca291d540066a12da"/>
    <w:p>
      <w:pPr>
        <w:pStyle w:val="Heading2"/>
      </w:pPr>
      <w:r>
        <w:t xml:space="preserve">Customer Success Story: Bilkent University Implementation</w:t>
      </w:r>
    </w:p>
    <w:p>
      <w:pPr>
        <w:pStyle w:val="FirstParagraph"/>
      </w:pPr>
      <w:r>
        <w:t xml:space="preserve">A recent case study at Bilkent University (Ankara's leading research institution) demonstrates Professor's transformative impact. After implementing the platform across all faculties:</w:t>
      </w:r>
    </w:p>
    <w:p>
      <w:pPr>
        <w:numPr>
          <w:ilvl w:val="0"/>
          <w:numId w:val="1002"/>
        </w:numPr>
        <w:pStyle w:val="Compact"/>
      </w:pPr>
      <w:r>
        <w:t xml:space="preserve">Student engagement increased by 41% through personalized learning pathways</w:t>
      </w:r>
    </w:p>
    <w:p>
      <w:pPr>
        <w:numPr>
          <w:ilvl w:val="0"/>
          <w:numId w:val="1002"/>
        </w:numPr>
        <w:pStyle w:val="Compact"/>
      </w:pPr>
      <w:r>
        <w:t xml:space="preserve">Professor reduced administrative workload by 30% for teaching staff</w:t>
      </w:r>
    </w:p>
    <w:p>
      <w:pPr>
        <w:numPr>
          <w:ilvl w:val="0"/>
          <w:numId w:val="1002"/>
        </w:numPr>
        <w:pStyle w:val="Compact"/>
      </w:pPr>
      <w:r>
        <w:t xml:space="preserve">Faculty adoption reached 97% within six months of rollout</w:t>
      </w:r>
    </w:p>
    <w:p>
      <w:pPr>
        <w:pStyle w:val="FirstParagraph"/>
      </w:pPr>
      <w:r>
        <w:t xml:space="preserve">"Professor has fundamentally changed how we deliver education in Ankara," stated Dr. Elif Yılmaz, Dean of Informatics at Bilkent. "The platform understands Turkish academic culture in a way no foreign solution ever has." This testimonial powerfully validates our Sales Report findings and underscores Professor's market leadership.</w:t>
      </w:r>
    </w:p>
    <w:bookmarkEnd w:id="24"/>
    <w:bookmarkStart w:id="25" w:name="strategic-challenges-in-turkey-ankara"/>
    <w:p>
      <w:pPr>
        <w:pStyle w:val="Heading2"/>
      </w:pPr>
      <w:r>
        <w:t xml:space="preserve">Strategic Challenges in Turkey Ankara</w:t>
      </w:r>
    </w:p>
    <w:p>
      <w:pPr>
        <w:pStyle w:val="FirstParagraph"/>
      </w:pPr>
      <w:r>
        <w:t xml:space="preserve">While results are strong, this Sales Report identifies two key challenges requiring attention:</w:t>
      </w:r>
    </w:p>
    <w:p>
      <w:pPr>
        <w:numPr>
          <w:ilvl w:val="0"/>
          <w:numId w:val="1003"/>
        </w:numPr>
        <w:pStyle w:val="Compact"/>
      </w:pPr>
      <w:r>
        <w:rPr>
          <w:bCs/>
          <w:b/>
        </w:rPr>
        <w:t xml:space="preserve">Competitive Response:</w:t>
      </w:r>
      <w:r>
        <w:t xml:space="preserve"> </w:t>
      </w:r>
      <w:r>
        <w:t xml:space="preserve">Local Turkish edtech startups have begun mimicking Professor's core features</w:t>
      </w:r>
    </w:p>
    <w:p>
      <w:pPr>
        <w:numPr>
          <w:ilvl w:val="0"/>
          <w:numId w:val="1003"/>
        </w:numPr>
        <w:pStyle w:val="Compact"/>
      </w:pPr>
      <w:r>
        <w:rPr>
          <w:bCs/>
          <w:b/>
        </w:rPr>
        <w:t xml:space="preserve">Government Certification Delays:</w:t>
      </w:r>
      <w:r>
        <w:t xml:space="preserve"> </w:t>
      </w:r>
      <w:r>
        <w:t xml:space="preserve">Bureaucratic processes for official educational accreditation</w:t>
      </w:r>
    </w:p>
    <w:p>
      <w:pPr>
        <w:pStyle w:val="FirstParagraph"/>
      </w:pPr>
      <w:r>
        <w:t xml:space="preserve">Our Ankara sales team has proactively countered these threats through rapid feature iteration and direct engagement with the Ministry of National Education. The recent successful certification of Professor as an official digital learning tool (No: MEYS/2023/789) has turned this challenge into a competitive advantage.</w:t>
      </w:r>
    </w:p>
    <w:bookmarkEnd w:id="25"/>
    <w:bookmarkStart w:id="26" w:name="future-growth-opportunities-in-ankara"/>
    <w:p>
      <w:pPr>
        <w:pStyle w:val="Heading2"/>
      </w:pPr>
      <w:r>
        <w:t xml:space="preserve">Future Growth Opportunities in Ankara</w:t>
      </w:r>
    </w:p>
    <w:p>
      <w:pPr>
        <w:pStyle w:val="FirstParagraph"/>
      </w:pPr>
      <w:r>
        <w:t xml:space="preserve">Based on current market momentum, the Sales Report recommends three strategic initiatives for Professor's expansion in Turkey Ankara:</w:t>
      </w:r>
    </w:p>
    <w:p>
      <w:pPr>
        <w:numPr>
          <w:ilvl w:val="0"/>
          <w:numId w:val="1004"/>
        </w:numPr>
        <w:pStyle w:val="Compact"/>
      </w:pPr>
      <w:r>
        <w:rPr>
          <w:bCs/>
          <w:b/>
        </w:rPr>
        <w:t xml:space="preserve">Government Partnership Program:</w:t>
      </w:r>
      <w:r>
        <w:t xml:space="preserve"> </w:t>
      </w:r>
      <w:r>
        <w:t xml:space="preserve">Leverage official certification to pursue nationwide implementation</w:t>
      </w:r>
    </w:p>
    <w:p>
      <w:pPr>
        <w:numPr>
          <w:ilvl w:val="0"/>
          <w:numId w:val="1004"/>
        </w:numPr>
        <w:pStyle w:val="Compact"/>
      </w:pPr>
      <w:r>
        <w:rPr>
          <w:bCs/>
          <w:b/>
        </w:rPr>
        <w:t xml:space="preserve">Ankara Campus Network:</w:t>
      </w:r>
      <w:r>
        <w:t xml:space="preserve"> </w:t>
      </w:r>
      <w:r>
        <w:t xml:space="preserve">Create a university alliance for shared content development</w:t>
      </w:r>
    </w:p>
    <w:p>
      <w:pPr>
        <w:numPr>
          <w:ilvl w:val="0"/>
          <w:numId w:val="1004"/>
        </w:numPr>
        <w:pStyle w:val="Compact"/>
      </w:pPr>
      <w:r>
        <w:rPr>
          <w:bCs/>
          <w:b/>
        </w:rPr>
        <w:t xml:space="preserve">K-12 Expansion:</w:t>
      </w:r>
      <w:r>
        <w:t xml:space="preserve"> </w:t>
      </w:r>
      <w:r>
        <w:t xml:space="preserve">Extend Professor's capabilities to secondary schools across Ankara province</w:t>
      </w:r>
    </w:p>
    <w:p>
      <w:pPr>
        <w:pStyle w:val="FirstParagraph"/>
      </w:pPr>
      <w:r>
        <w:t xml:space="preserve">These initiatives align perfectly with Turkey's national education goals and position Professor as the essential technology partner for Turkey Ankara's educational ecosystem. Our Q4 forecast projects 55% growth from these initiatives, with potential revenue exceeding $200,000 in Ankara alone.</w:t>
      </w:r>
    </w:p>
    <w:bookmarkEnd w:id="26"/>
    <w:bookmarkStart w:id="27" w:name="conclusion"/>
    <w:p>
      <w:pPr>
        <w:pStyle w:val="Heading2"/>
      </w:pPr>
      <w:r>
        <w:t xml:space="preserve">Conclusion</w:t>
      </w:r>
    </w:p>
    <w:p>
      <w:pPr>
        <w:pStyle w:val="FirstParagraph"/>
      </w:pPr>
      <w:r>
        <w:t xml:space="preserve">This Sales Report unequivocally demonstrates that Professor has become the market leader in Turkey Ankara's educational technology segment. The platform's cultural intelligence, proven ROI metrics, and strategic alignment with national education priorities have established it as an indispensable tool for Turkish academia. With 100% of major Ankara universities now implementing Professor—compared to zero at launch—we've achieved what was previously considered impossible for foreign edtech solutions in Turkey.</w:t>
      </w:r>
    </w:p>
    <w:p>
      <w:pPr>
        <w:pStyle w:val="BodyText"/>
      </w:pPr>
      <w:r>
        <w:t xml:space="preserve">As we move into 2024, Professor's success in Ankara provides the ideal blueprint for national expansion across Turkey. Our data clearly shows that when technology is thoughtfully adapted to local context, it transcends market boundaries. This Sales Report confirms that Professor isn't merely selling software—it's transforming education in the heart of Turkey at a pace that sets new industry benchmarks. The Ankara market has become our flagship example for global markets seeking authentic cultural integration in edtech solutions.</w:t>
      </w:r>
    </w:p>
    <w:p>
      <w:pPr>
        <w:pStyle w:val="BodyText"/>
      </w:pPr>
      <w:r>
        <w:rPr>
          <w:bCs/>
          <w:b/>
        </w:rPr>
        <w:t xml:space="preserve">Key Takeaway:</w:t>
      </w:r>
      <w:r>
        <w:t xml:space="preserve"> </w:t>
      </w:r>
      <w:r>
        <w:t xml:space="preserve">Professor's dominance in Turkey Ankara proves that market success requires deep cultural understanding, not just technological innovation. This Sales Report establishes a new standard for global education technology adoption.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Product Performance in Turkey Ankara</dc:title>
  <dc:creator/>
  <dc:language>en</dc:language>
  <cp:keywords/>
  <dcterms:created xsi:type="dcterms:W3CDTF">2026-07-21T02:30:28Z</dcterms:created>
  <dcterms:modified xsi:type="dcterms:W3CDTF">2026-07-21T02:30:28Z</dcterms:modified>
</cp:coreProperties>
</file>

<file path=docProps/custom.xml><?xml version="1.0" encoding="utf-8"?>
<Properties xmlns="http://schemas.openxmlformats.org/officeDocument/2006/custom-properties" xmlns:vt="http://schemas.openxmlformats.org/officeDocument/2006/docPropsVTypes"/>
</file>