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Istanbul,</w:t>
      </w:r>
      <w:r>
        <w:t xml:space="preserve"> </w:t>
      </w:r>
      <w:r>
        <w:t xml:space="preserve">Turkey</w:t>
      </w:r>
      <w:r>
        <w:t xml:space="preserve"> </w:t>
      </w:r>
      <w:r>
        <w:t xml:space="preserve">Market</w:t>
      </w:r>
      <w:r>
        <w:t xml:space="preserve"> </w:t>
      </w:r>
      <w:r>
        <w:t xml:space="preserve">Analysis</w:t>
      </w:r>
    </w:p>
    <w:bookmarkStart w:id="27" w:name="Xbc76a48f205fad463d2cd590fce7444541d0ec3"/>
    <w:p>
      <w:pPr>
        <w:pStyle w:val="Heading1"/>
      </w:pPr>
      <w:r>
        <w:t xml:space="preserve">Comprehensive Sales Report: Professor Educational Technology Product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Report Period:</w:t>
      </w:r>
      <w:r>
        <w:t xml:space="preserve"> </w:t>
      </w:r>
      <w:r>
        <w:t xml:space="preserve">Q3 2023 (July-September)</w:t>
      </w:r>
      <w:r>
        <w:br/>
      </w:r>
      <w:r>
        <w:rPr>
          <w:bCs/>
          <w:b/>
        </w:rPr>
        <w:t xml:space="preserve">Geographic Focus:</w:t>
      </w:r>
      <w:r>
        <w:t xml:space="preserve"> </w:t>
      </w:r>
      <w:r>
        <w:t xml:space="preserve">Istanbul, Turkey</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Professor</w:t>
      </w:r>
      <w:r>
        <w:t xml:space="preserve"> </w:t>
      </w:r>
      <w:r>
        <w:t xml:space="preserve">suite of educational technology solutions across Istanbul, Turkey—the nation's economic and cultural epicenter. The report confirms that the Professor platform has achieved exceptional market penetration in Istanbul's education sector, with a 37% year-over-year revenue growth during Q3 2023. This success stems from strategic localization of the Professor product suite to align with Turkey's Ministry of National Education (MEB) curriculum standards and Istanbul's rapidly expanding digital learning infrastructure. The Professor sales team in Istanbul has not only met but significantly exceeded quarterly targets, establishing a robust foundation for nationwide expansion across Turkey.</w:t>
      </w:r>
    </w:p>
    <w:bookmarkEnd w:id="20"/>
    <w:bookmarkStart w:id="21" w:name="X2b4021a33e817dcce8f5c1a3c5dcf2708ddef72"/>
    <w:p>
      <w:pPr>
        <w:pStyle w:val="Heading2"/>
      </w:pPr>
      <w:r>
        <w:t xml:space="preserve">II. Market Context: Professor in the Istanbul Education Landscape</w:t>
      </w:r>
    </w:p>
    <w:p>
      <w:pPr>
        <w:pStyle w:val="FirstParagraph"/>
      </w:pPr>
      <w:r>
        <w:t xml:space="preserve">Istanbul represents 18% of Turkey's total education market and serves as the primary gateway for international educational technology adoption. The city's unique dynamics—boasting 570+ private universities, 4,200+ K-12 schools, and a tech-savvy youth demographic—make it an ideal proving ground for the Professor platform. During Q3, we observed Istanbul schools prioritizing solutions that offer: (1) Turkish language support with regional dialect adaptation; (2) seamless integration with MEB's digital education frameworks; and (3) cost-effective scalability. The Professor product suite uniquely addresses all three, positioning it as the preferred choice among 87% of surveyed Istanbul educators compared to competitors.</w:t>
      </w:r>
    </w:p>
    <w:bookmarkEnd w:id="21"/>
    <w:bookmarkStart w:id="22" w:name="X8024f8497f5d842d1b5c38efdb0cefb526b4f27"/>
    <w:p>
      <w:pPr>
        <w:pStyle w:val="Heading2"/>
      </w:pPr>
      <w:r>
        <w:t xml:space="preserve">III. Sales Performance: Professor Market Penetration in Istanbul</w:t>
      </w:r>
    </w:p>
    <w:p>
      <w:pPr>
        <w:pStyle w:val="FirstParagraph"/>
      </w:pPr>
      <w:r>
        <w:rPr>
          <w:bCs/>
          <w:b/>
        </w:rPr>
        <w:t xml:space="preserve">Revenue Highlights:</w:t>
      </w:r>
    </w:p>
    <w:p>
      <w:pPr>
        <w:numPr>
          <w:ilvl w:val="0"/>
          <w:numId w:val="1001"/>
        </w:numPr>
        <w:pStyle w:val="Compact"/>
      </w:pPr>
      <w:r>
        <w:t xml:space="preserve">Total Revenue (Istanbul): ₺14.8M (≈$650,000 USD) – 37% YoY growth</w:t>
      </w:r>
    </w:p>
    <w:p>
      <w:pPr>
        <w:numPr>
          <w:ilvl w:val="0"/>
          <w:numId w:val="1001"/>
        </w:numPr>
        <w:pStyle w:val="Compact"/>
      </w:pPr>
      <w:r>
        <w:t xml:space="preserve">New Client Acquisition: 212 schools/universities (vs. 148 in Q2)</w:t>
      </w:r>
    </w:p>
    <w:p>
      <w:pPr>
        <w:numPr>
          <w:ilvl w:val="0"/>
          <w:numId w:val="1001"/>
        </w:numPr>
        <w:pStyle w:val="Compact"/>
      </w:pPr>
      <w:r>
        <w:t xml:space="preserve">Contract Value Average: ₺78,500 (up 23% from previous quarter)</w:t>
      </w:r>
    </w:p>
    <w:p>
      <w:pPr>
        <w:numPr>
          <w:ilvl w:val="0"/>
          <w:numId w:val="1001"/>
        </w:numPr>
        <w:pStyle w:val="Compact"/>
      </w:pPr>
      <w:r>
        <w:t xml:space="preserve">Subscription Retention Rate: 94% – significantly above Turkey market average of 82%</w:t>
      </w:r>
    </w:p>
    <w:p>
      <w:pPr>
        <w:pStyle w:val="FirstParagraph"/>
      </w:pPr>
      <w:r>
        <w:t xml:space="preserve">The Q3 success was driven by three key initiatives tailored for Istanbul:</w:t>
      </w:r>
    </w:p>
    <w:p>
      <w:pPr>
        <w:numPr>
          <w:ilvl w:val="0"/>
          <w:numId w:val="1002"/>
        </w:numPr>
        <w:pStyle w:val="Compact"/>
      </w:pPr>
      <w:r>
        <w:rPr>
          <w:bCs/>
          <w:b/>
        </w:rPr>
        <w:t xml:space="preserve">MEB Curriculum Alignment Project:</w:t>
      </w:r>
      <w:r>
        <w:t xml:space="preserve"> </w:t>
      </w:r>
      <w:r>
        <w:t xml:space="preserve">Professor's localized modules for Turkish history and mathematics were adopted by 63% of new Istanbul clients, directly addressing MEB's 2023 digital transformation mandate.</w:t>
      </w:r>
    </w:p>
    <w:p>
      <w:pPr>
        <w:numPr>
          <w:ilvl w:val="0"/>
          <w:numId w:val="1002"/>
        </w:numPr>
        <w:pStyle w:val="Compact"/>
      </w:pPr>
      <w:r>
        <w:rPr>
          <w:bCs/>
          <w:b/>
        </w:rPr>
        <w:t xml:space="preserve">Istanbul Education Network Partnership:</w:t>
      </w:r>
      <w:r>
        <w:t xml:space="preserve"> </w:t>
      </w:r>
      <w:r>
        <w:t xml:space="preserve">Strategic alliance with the Istanbul Metropolitan Municipality's "Digital School Initiative" secured contracts with 47 public schools, representing a landmark entry into the municipal education sector.</w:t>
      </w:r>
    </w:p>
    <w:p>
      <w:pPr>
        <w:numPr>
          <w:ilvl w:val="0"/>
          <w:numId w:val="1002"/>
        </w:numPr>
        <w:pStyle w:val="Compact"/>
      </w:pPr>
      <w:r>
        <w:rPr>
          <w:bCs/>
          <w:b/>
        </w:rPr>
        <w:t xml:space="preserve">Turkish Language AI Optimization:</w:t>
      </w:r>
      <w:r>
        <w:t xml:space="preserve"> </w:t>
      </w:r>
      <w:r>
        <w:t xml:space="preserve">The Professor platform's NLP engine, refined for Istanbul Turkish dialects and academic terminology, reduced student support tickets by 61% in pilot schools.</w:t>
      </w:r>
    </w:p>
    <w:bookmarkEnd w:id="22"/>
    <w:bookmarkStart w:id="23" w:name="X5f185724c4eafe3da7f56ebd0cfb8d7051107cb"/>
    <w:p>
      <w:pPr>
        <w:pStyle w:val="Heading2"/>
      </w:pPr>
      <w:r>
        <w:t xml:space="preserve">IV. Customer Insights: Why Professor Wins in Istanbul</w:t>
      </w:r>
    </w:p>
    <w:p>
      <w:pPr>
        <w:pStyle w:val="FirstParagraph"/>
      </w:pPr>
      <w:r>
        <w:t xml:space="preserve">Qualitative data from 187 interviews with educators across Istanbul reveals consistent themes:</w:t>
      </w:r>
    </w:p>
    <w:p>
      <w:pPr>
        <w:pStyle w:val="BlockText"/>
      </w:pPr>
      <w:r>
        <w:t xml:space="preserve">"Professor's real-time analytics dashboard shows exactly which students struggle with Turkish literature concepts—something our previous platforms couldn't do. In a city like Istanbul where class sizes exceed 30, this is revolutionary."</w:t>
      </w:r>
    </w:p>
    <w:p>
      <w:pPr>
        <w:pStyle w:val="FirstParagraph"/>
      </w:pPr>
      <w:r>
        <w:rPr>
          <w:iCs/>
          <w:i/>
        </w:rPr>
        <w:t xml:space="preserve">- Ayşe Yılmaz, Head of Technology at a leading Istanbul private school</w:t>
      </w:r>
    </w:p>
    <w:p>
      <w:pPr>
        <w:pStyle w:val="BlockText"/>
      </w:pPr>
      <w:r>
        <w:t xml:space="preserve">"The 'Professor for Teachers' mobile app works flawlessly on our older devices. In Istanbul's diverse schools—ranging from high-end academies to rural-adjacent institutions—this accessibility was crucial."</w:t>
      </w:r>
    </w:p>
    <w:p>
      <w:pPr>
        <w:pStyle w:val="FirstParagraph"/>
      </w:pPr>
      <w:r>
        <w:rPr>
          <w:iCs/>
          <w:i/>
        </w:rPr>
        <w:t xml:space="preserve">- Mehmet Kaya, IT Director at an Istanbul-based university</w:t>
      </w:r>
    </w:p>
    <w:bookmarkEnd w:id="23"/>
    <w:bookmarkStart w:id="24" w:name="Xf38b36bbaf7ef2f08c28520b7de4dc7f9e66442"/>
    <w:p>
      <w:pPr>
        <w:pStyle w:val="Heading2"/>
      </w:pPr>
      <w:r>
        <w:t xml:space="preserve">V. Competitive Analysis: Professor vs. Alternatives in Turkey Istanbul</w:t>
      </w:r>
    </w:p>
    <w:p>
      <w:pPr>
        <w:pStyle w:val="FirstParagraph"/>
      </w:pPr>
      <w:r>
        <w:t xml:space="preserve">Factor</w:t>
      </w:r>
    </w:p>
    <w:p>
      <w:pPr>
        <w:pStyle w:val="BodyText"/>
      </w:pPr>
      <w:r>
        <w:t xml:space="preserve">Professor (Istanbul)</w:t>
      </w:r>
    </w:p>
    <w:p>
      <w:pPr>
        <w:pStyle w:val="BodyText"/>
      </w:pPr>
      <w:r>
        <w:t xml:space="preserve">Competitor A</w:t>
      </w:r>
    </w:p>
    <w:p>
      <w:pPr>
        <w:pStyle w:val="BodyText"/>
      </w:pPr>
      <w:r>
        <w:t xml:space="preserve">Competitor B</w:t>
      </w:r>
    </w:p>
    <w:p>
      <w:pPr>
        <w:pStyle w:val="BodyText"/>
      </w:pPr>
      <w:r>
        <w:t xml:space="preserve">Turkish Language Support</w:t>
      </w:r>
    </w:p>
    <w:p>
      <w:pPr>
        <w:pStyle w:val="BodyText"/>
      </w:pPr>
      <w:r>
        <w:t xml:space="preserve">Native-level integration (Dialect-aware)</w:t>
      </w:r>
    </w:p>
    <w:p>
      <w:pPr>
        <w:pStyle w:val="BodyText"/>
      </w:pPr>
      <w:r>
        <w:t xml:space="preserve">Limited to formal Turkish only</w:t>
      </w:r>
    </w:p>
    <w:p>
      <w:pPr>
        <w:pStyle w:val="BodyText"/>
      </w:pPr>
      <w:r>
        <w:t xml:space="preserve">No local language support</w:t>
      </w:r>
    </w:p>
    <w:p>
      <w:pPr>
        <w:pStyle w:val="BodyText"/>
      </w:pPr>
      <w:r>
        <w:t xml:space="preserve">MEB Compliance Certification</w:t>
      </w:r>
    </w:p>
    <w:p>
      <w:pPr>
        <w:pStyle w:val="BodyText"/>
      </w:pPr>
      <w:r>
        <w:t xml:space="preserve">Full certification (Q2 2023)</w:t>
      </w:r>
    </w:p>
    <w:p>
      <w:pPr>
        <w:pStyle w:val="BodyText"/>
      </w:pPr>
      <w:r>
        <w:t xml:space="preserve">In-progress certification</w:t>
      </w:r>
    </w:p>
    <w:p>
      <w:pPr>
        <w:pStyle w:val="BodyText"/>
      </w:pPr>
      <w:r>
        <w:t xml:space="preserve">Istanbul School Network Access</w:t>
      </w:r>
    </w:p>
    <w:p>
      <w:pPr>
        <w:pStyle w:val="BodyText"/>
      </w:pPr>
      <w:r>
        <w:t xml:space="preserve">75 schools via municipality partnership</w:t>
      </w:r>
    </w:p>
    <w:p>
      <w:pPr>
        <w:pStyle w:val="BodyText"/>
      </w:pPr>
      <w:r>
        <w:t xml:space="preserve">18 schools (unaffiliated)</w:t>
      </w:r>
    </w:p>
    <w:p>
      <w:pPr>
        <w:pStyle w:val="BodyText"/>
      </w:pPr>
      <w:r>
        <w:t xml:space="preserve">4.8/5.0</w:t>
      </w:r>
    </w:p>
    <w:p>
      <w:pPr>
        <w:pStyle w:val="BodyText"/>
      </w:pPr>
      <w:r>
        <w:t xml:space="preserve">3.9/5.0</w:t>
      </w:r>
    </w:p>
    <w:bookmarkEnd w:id="24"/>
    <w:bookmarkStart w:id="25" w:name="X69bfd7ec4f881e0bc8caf974f1d54c050174997"/>
    <w:p>
      <w:pPr>
        <w:pStyle w:val="Heading2"/>
      </w:pPr>
      <w:r>
        <w:t xml:space="preserve">VI. Challenges and Strategic Recommendations for Turkey Istanbul Market</w:t>
      </w:r>
    </w:p>
    <w:p>
      <w:pPr>
        <w:pStyle w:val="FirstParagraph"/>
      </w:pPr>
      <w:r>
        <w:rPr>
          <w:bCs/>
          <w:b/>
        </w:rPr>
        <w:t xml:space="preserve">Current Challenges:</w:t>
      </w:r>
    </w:p>
    <w:p>
      <w:pPr>
        <w:numPr>
          <w:ilvl w:val="0"/>
          <w:numId w:val="1003"/>
        </w:numPr>
        <w:pStyle w:val="Compact"/>
      </w:pPr>
      <w:r>
        <w:rPr>
          <w:iCs/>
          <w:i/>
        </w:rPr>
        <w:t xml:space="preserve">Pricing Sensitivity:</w:t>
      </w:r>
      <w:r>
        <w:t xml:space="preserve"> </w:t>
      </w:r>
      <w:r>
        <w:t xml:space="preserve">32% of Istanbul schools requested tiered pricing during Q3, citing budget constraints amid Turkey's economic volatility.</w:t>
      </w:r>
    </w:p>
    <w:p>
      <w:pPr>
        <w:numPr>
          <w:ilvl w:val="0"/>
          <w:numId w:val="1003"/>
        </w:numPr>
        <w:pStyle w:val="Compact"/>
      </w:pPr>
      <w:r>
        <w:rPr>
          <w:iCs/>
          <w:i/>
        </w:rPr>
        <w:t xml:space="preserve">Infrastructure Gaps:</w:t>
      </w:r>
      <w:r>
        <w:t xml:space="preserve"> </w:t>
      </w:r>
      <w:r>
        <w:t xml:space="preserve">15% of Istanbul's public schools lack reliable high-speed internet, requiring Professor to develop offline functionality.</w:t>
      </w:r>
    </w:p>
    <w:p>
      <w:pPr>
        <w:pStyle w:val="FirstParagraph"/>
      </w:pPr>
      <w:r>
        <w:rPr>
          <w:bCs/>
          <w:b/>
        </w:rPr>
        <w:t xml:space="preserve">Strategic Recommendations:</w:t>
      </w:r>
    </w:p>
    <w:p>
      <w:pPr>
        <w:numPr>
          <w:ilvl w:val="0"/>
          <w:numId w:val="1004"/>
        </w:numPr>
        <w:pStyle w:val="Compact"/>
      </w:pPr>
      <w:r>
        <w:rPr>
          <w:bCs/>
          <w:b/>
        </w:rPr>
        <w:t xml:space="preserve">Launch "Professor Basic" Tier for Istanbul Schools:</w:t>
      </w:r>
      <w:r>
        <w:t xml:space="preserve"> </w:t>
      </w:r>
      <w:r>
        <w:t xml:space="preserve">A ₺25,000/year package with core curriculum modules (no advanced analytics) to capture budget-conscious institutions.</w:t>
      </w:r>
    </w:p>
    <w:p>
      <w:pPr>
        <w:numPr>
          <w:ilvl w:val="0"/>
          <w:numId w:val="1004"/>
        </w:numPr>
        <w:pStyle w:val="Compact"/>
      </w:pPr>
      <w:r>
        <w:rPr>
          <w:bCs/>
          <w:b/>
        </w:rPr>
        <w:t xml:space="preserve">Partner with Turkish Telecoms:</w:t>
      </w:r>
      <w:r>
        <w:t xml:space="preserve"> </w:t>
      </w:r>
      <w:r>
        <w:t xml:space="preserve">Collaborate with Turkcell and Vodafone to bundle Professor access with discounted school internet packages in Istanbul.</w:t>
      </w:r>
    </w:p>
    <w:p>
      <w:pPr>
        <w:numPr>
          <w:ilvl w:val="0"/>
          <w:numId w:val="1004"/>
        </w:numPr>
        <w:pStyle w:val="Compact"/>
      </w:pPr>
      <w:r>
        <w:rPr>
          <w:bCs/>
          <w:b/>
        </w:rPr>
        <w:t xml:space="preserve">Certify Professor for MEB's "Digital Classrooms" 2024 Initiative:</w:t>
      </w:r>
      <w:r>
        <w:t xml:space="preserve"> </w:t>
      </w:r>
      <w:r>
        <w:t xml:space="preserve">Allocate resources to secure full certification before Turkey's national rollout, ensuring first-mover advantage across all Istanbul districts.</w:t>
      </w:r>
    </w:p>
    <w:bookmarkEnd w:id="25"/>
    <w:bookmarkStart w:id="26" w:name="X72340301a3778d523b4d440b8a13ce50d8ad182"/>
    <w:p>
      <w:pPr>
        <w:pStyle w:val="Heading2"/>
      </w:pPr>
      <w:r>
        <w:t xml:space="preserve">VII. Conclusion: Professor’s Path Forward in Istanbul, Turkey</w:t>
      </w:r>
    </w:p>
    <w:p>
      <w:pPr>
        <w:pStyle w:val="FirstParagraph"/>
      </w:pPr>
      <w:r>
        <w:t xml:space="preserve">The Q3 Sales Report unequivocally demonstrates that the Professor platform has evolved from a promising educational tool to an indispensable asset for Istanbul's schools and universities. By embedding itself within Istanbul's education ecosystem through MEB alignment, Turkish language mastery, and community partnerships, Professor has achieved sustainable market leadership in Turkey's most critical education hub. The 37% growth trajectory confirms that localized product adaptation—not generic global solutions—drives success in Turkey Istanbul. As the Turkish government accelerates its digital education roadmap, Professor is positioned to capture 45% of Istanbul's projected $28M educational tech market by Q1 2025.</w:t>
      </w:r>
    </w:p>
    <w:p>
      <w:pPr>
        <w:pStyle w:val="BodyText"/>
      </w:pPr>
      <w:r>
        <w:t xml:space="preserve">For our leadership team: This report validates the strategic investment in Turkey Istanbul as a high-ROI market. The Professor sales team has not only met targets but redefined category standards for educational technology in Turkey. We recommend doubling down on Istanbul-based product development and expanding the dedicated Professor-Turkey localization unit to 12 personnel by Q1 2024. The success here will be the blueprint for nationwide expansion across all regions of Turkey.</w:t>
      </w:r>
    </w:p>
    <w:p>
      <w:pPr>
        <w:pStyle w:val="BodyText"/>
      </w:pPr>
      <w:r>
        <w:rPr>
          <w:bCs/>
          <w:b/>
        </w:rPr>
        <w:t xml:space="preserve">Prepared By:</w:t>
      </w:r>
      <w:r>
        <w:t xml:space="preserve"> </w:t>
      </w:r>
      <w:r>
        <w:t xml:space="preserve">Global Sales Strategy Group</w:t>
      </w:r>
      <w:r>
        <w:br/>
      </w:r>
      <w:r>
        <w:rPr>
          <w:bCs/>
          <w:b/>
        </w:rPr>
        <w:t xml:space="preserve">Contact:</w:t>
      </w:r>
      <w:r>
        <w:t xml:space="preserve"> </w:t>
      </w:r>
      <w:r>
        <w:t xml:space="preserve">sales@professor-edu.com | Istanbul Office: +90 212 555 0033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Istanbul, Turkey Market Analysis</dc:title>
  <dc:creator/>
  <dc:language>en</dc:language>
  <cp:keywords/>
  <dcterms:created xsi:type="dcterms:W3CDTF">2025-12-13T01:56:27Z</dcterms:created>
  <dcterms:modified xsi:type="dcterms:W3CDTF">2025-12-13T01:56:27Z</dcterms:modified>
</cp:coreProperties>
</file>

<file path=docProps/custom.xml><?xml version="1.0" encoding="utf-8"?>
<Properties xmlns="http://schemas.openxmlformats.org/officeDocument/2006/custom-properties" xmlns:vt="http://schemas.openxmlformats.org/officeDocument/2006/docPropsVTypes"/>
</file>