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Birmingham</w:t>
      </w:r>
      <w:r>
        <w:t xml:space="preserve"> </w:t>
      </w:r>
      <w:r>
        <w:t xml:space="preserve">Market</w:t>
      </w:r>
      <w:r>
        <w:t xml:space="preserve"> </w:t>
      </w:r>
      <w:r>
        <w:t xml:space="preserve">Analysis</w:t>
      </w:r>
    </w:p>
    <w:bookmarkStart w:id="28" w:name="Xdaa22ad824a1e1033cd798d68342d2ecb18c205"/>
    <w:p>
      <w:pPr>
        <w:pStyle w:val="Heading1"/>
      </w:pPr>
      <w:r>
        <w:t xml:space="preserve">Comprehensive Sales Report: Professor Educational Technology Platform - United Kingdom Birmingham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Professor Global Headquarters</w:t>
      </w:r>
      <w:r>
        <w:br/>
      </w:r>
      <w:r>
        <w:rPr>
          <w:bCs/>
          <w:b/>
        </w:rPr>
        <w:t xml:space="preserve">Report Period:</w:t>
      </w:r>
      <w:r>
        <w:t xml:space="preserve"> </w:t>
      </w:r>
      <w:r>
        <w:t xml:space="preserve">Q3 2023 (July 1 - September 30)</w:t>
      </w:r>
      <w:r>
        <w:br/>
      </w:r>
      <w:r>
        <w:rPr>
          <w:bCs/>
          <w:b/>
        </w:rPr>
        <w:t xml:space="preserve">Region Covered:</w:t>
      </w:r>
      <w:r>
        <w:t xml:space="preserve"> </w:t>
      </w:r>
      <w:r>
        <w:t xml:space="preserve">United Kingdom Birmingham Metropolitan Area</w:t>
      </w:r>
    </w:p>
    <w:bookmarkStart w:id="20" w:name="i.-executive-summary"/>
    <w:p>
      <w:pPr>
        <w:pStyle w:val="Heading2"/>
      </w:pPr>
      <w:r>
        <w:t xml:space="preserve">I. Executive Summary</w:t>
      </w:r>
    </w:p>
    <w:p>
      <w:pPr>
        <w:pStyle w:val="FirstParagraph"/>
      </w:pPr>
      <w:r>
        <w:t xml:space="preserve">This Sales Report details the performance of the Professor educational technology platform across the United Kingdom Birmingham market during Q3 2023. The data demonstrates remarkable growth trajectory, with Birmingham emerging as a critical hub for Professor's expansion strategy in the UK. Total revenue reached £487,500 for the quarter, representing a 34% year-on-year increase and exceeding regional targets by 18%. This success underscores Professor's strategic pivot toward premium educational solutions in Midlands' largest urban center. Birmingham's unique demographic profile—characterized by high student population density, diverse socioeconomic groups, and strong institutional partnerships—has proven exceptionally receptive to Professor's AI-driven learning ecosystem.</w:t>
      </w:r>
    </w:p>
    <w:bookmarkEnd w:id="20"/>
    <w:bookmarkStart w:id="21" w:name="Xdf9f17ddba008dc2985626bc277e97376b31099"/>
    <w:p>
      <w:pPr>
        <w:pStyle w:val="Heading2"/>
      </w:pPr>
      <w:r>
        <w:t xml:space="preserve">II. Market Context: Why Birmingham Matters</w:t>
      </w:r>
    </w:p>
    <w:p>
      <w:pPr>
        <w:pStyle w:val="FirstParagraph"/>
      </w:pPr>
      <w:r>
        <w:t xml:space="preserve">The United Kingdom Birmingham market represents a strategic priority for Professor due to its position as the UK's second-largest city with 1.2 million residents, including over 150,000 university students across Aston University, University of Birmingham, and Birmingham City University. Unlike London-centric educational tech models, Professor has successfully tailored solutions for Birmingham's distinct needs: budget-conscious public schools (73% of the city's institutions), diverse ethnic communities (42% non-white population), and high demand for vocational training aligned with Midlands' manufacturing resurgence. This Sales Report confirms that Birmingham is now Professor's second-highest revenue-generating city in the UK, trailing only London by 12%—a significant narrowing of the gap.</w:t>
      </w:r>
    </w:p>
    <w:bookmarkEnd w:id="21"/>
    <w:bookmarkStart w:id="22" w:name="iii.-sales-performance-breakdown"/>
    <w:p>
      <w:pPr>
        <w:pStyle w:val="Heading2"/>
      </w:pPr>
      <w:r>
        <w:t xml:space="preserve">III. Sales Performance Breakdown</w:t>
      </w:r>
    </w:p>
    <w:p>
      <w:pPr>
        <w:pStyle w:val="FirstParagraph"/>
      </w:pPr>
      <w:r>
        <w:t xml:space="preserve">Product/Service</w:t>
      </w:r>
    </w:p>
    <w:p>
      <w:pPr>
        <w:pStyle w:val="BodyText"/>
      </w:pPr>
      <w:r>
        <w:t xml:space="preserve">Q3 Revenue (GBP)</w:t>
      </w:r>
    </w:p>
    <w:p>
      <w:pPr>
        <w:pStyle w:val="BodyText"/>
      </w:pPr>
      <w:r>
        <w:t xml:space="preserve">% of Total Birmingham Sales</w:t>
      </w:r>
    </w:p>
    <w:p>
      <w:pPr>
        <w:pStyle w:val="BodyText"/>
      </w:pPr>
      <w:r>
        <w:t xml:space="preserve">YoY Growth</w:t>
      </w:r>
    </w:p>
    <w:p>
      <w:pPr>
        <w:pStyle w:val="BodyText"/>
      </w:pPr>
      <w:r>
        <w:t xml:space="preserve">Professor Advanced Learning Suite (K-12)</w:t>
      </w:r>
    </w:p>
    <w:p>
      <w:pPr>
        <w:pStyle w:val="BodyText"/>
      </w:pPr>
      <w:r>
        <w:t xml:space="preserve">£215,000</w:t>
      </w:r>
    </w:p>
    <w:p>
      <w:pPr>
        <w:pStyle w:val="BodyText"/>
      </w:pPr>
      <w:r>
        <w:t xml:space="preserve">44%</w:t>
      </w:r>
    </w:p>
    <w:p>
      <w:pPr>
        <w:pStyle w:val="BodyText"/>
      </w:pPr>
      <w:r>
        <w:t xml:space="preserve">+28%</w:t>
      </w:r>
    </w:p>
    <w:p>
      <w:pPr>
        <w:pStyle w:val="BodyText"/>
      </w:pPr>
      <w:r>
        <w:t xml:space="preserve">Professor Professional Development (Institutions)</w:t>
      </w:r>
    </w:p>
    <w:p>
      <w:pPr>
        <w:pStyle w:val="BodyText"/>
      </w:pPr>
      <w:r>
        <w:t xml:space="preserve">£158,300&lt; td &gt;32%&lt; td &gt;+41%</w:t>
      </w:r>
    </w:p>
    <w:p>
      <w:pPr>
        <w:pStyle w:val="BodyText"/>
      </w:pPr>
      <w:r>
        <w:t xml:space="preserve">Professor STEM Lab Subscription</w:t>
      </w:r>
    </w:p>
    <w:p>
      <w:pPr>
        <w:pStyle w:val="BodyText"/>
      </w:pPr>
      <w:r>
        <w:t xml:space="preserve">£79,200</w:t>
      </w:r>
    </w:p>
    <w:p>
      <w:pPr>
        <w:pStyle w:val="BodyText"/>
      </w:pPr>
      <w:r>
        <w:t xml:space="preserve">16%</w:t>
      </w:r>
    </w:p>
    <w:p>
      <w:pPr>
        <w:pStyle w:val="BodyText"/>
      </w:pPr>
      <w:r>
        <w:t xml:space="preserve">+57%</w:t>
      </w:r>
    </w:p>
    <w:p>
      <w:pPr>
        <w:pStyle w:val="BodyText"/>
      </w:pPr>
      <w:r>
        <w:t xml:space="preserve">Professor Parental Engagement Module</w:t>
      </w:r>
    </w:p>
    <w:p>
      <w:pPr>
        <w:pStyle w:val="BodyText"/>
      </w:pPr>
      <w:r>
        <w:t xml:space="preserve">&lt;</w:t>
      </w:r>
    </w:p>
    <w:p>
      <w:pPr>
        <w:pStyle w:val="BodyText"/>
      </w:pPr>
      <w:r>
        <w:t xml:space="preserve">£35,000 7% +18%&lt; / t d &gt;</w:t>
      </w:r>
    </w:p>
    <w:p>
      <w:pPr>
        <w:pStyle w:val="BodyText"/>
      </w:pPr>
      <w:r>
        <w:t xml:space="preserve">The most significant growth driver was Professor's Professional Development service, which saw 41% YoY expansion through strategic partnerships with Birmingham City Council Education Department and local academy trusts. The STEM Lab subscription surged by 57%, directly responding to the Midlands Engine Initiative's £150m investment in STEM infrastructure—making Birmingham a national benchmark for educational technology adoption.</w:t>
      </w:r>
    </w:p>
    <w:bookmarkEnd w:id="22"/>
    <w:bookmarkStart w:id="23" w:name="X9ee79a905f000fffa0f62a41601b6ae0e092cc6"/>
    <w:p>
      <w:pPr>
        <w:pStyle w:val="Heading2"/>
      </w:pPr>
      <w:r>
        <w:t xml:space="preserve">IV. Customer Acquisition &amp; Retention in United Kingdom Birmingham</w:t>
      </w:r>
    </w:p>
    <w:p>
      <w:pPr>
        <w:pStyle w:val="FirstParagraph"/>
      </w:pPr>
      <w:r>
        <w:t xml:space="preserve">Birmingham's customer acquisition strategy has evolved beyond digital channels. Professor established a dedicated local office at the City Centre Innovation Hub (Birmingham), enabling face-to-face consultations with school administrators—a tactic that boosted conversion rates by 31% compared to online-only approaches. Key metrics from this Sales Report reveal:</w:t>
      </w:r>
    </w:p>
    <w:p>
      <w:pPr>
        <w:numPr>
          <w:ilvl w:val="0"/>
          <w:numId w:val="1001"/>
        </w:numPr>
        <w:pStyle w:val="Compact"/>
      </w:pPr>
      <w:r>
        <w:rPr>
          <w:bCs/>
          <w:b/>
        </w:rPr>
        <w:t xml:space="preserve">Net Promoter Score (NPS):</w:t>
      </w:r>
      <w:r>
        <w:t xml:space="preserve"> </w:t>
      </w:r>
      <w:r>
        <w:t xml:space="preserve">76 in Birmingham (vs. UK average of 58), driven by personalized onboarding for teachers at institutions like King Edward's School and Handsworth Grammar</w:t>
      </w:r>
    </w:p>
    <w:p>
      <w:pPr>
        <w:numPr>
          <w:ilvl w:val="0"/>
          <w:numId w:val="1001"/>
        </w:numPr>
        <w:pStyle w:val="Compact"/>
      </w:pPr>
      <w:r>
        <w:rPr>
          <w:bCs/>
          <w:b/>
        </w:rPr>
        <w:t xml:space="preserve">Retention Rate:</w:t>
      </w:r>
      <w:r>
        <w:t xml:space="preserve"> </w:t>
      </w:r>
      <w:r>
        <w:t xml:space="preserve">89% for existing institutional clients—surpassing the industry benchmark of 72%—attributed to Professor's localized support team based in Birmingham</w:t>
      </w:r>
    </w:p>
    <w:p>
      <w:pPr>
        <w:numPr>
          <w:ilvl w:val="0"/>
          <w:numId w:val="1001"/>
        </w:numPr>
        <w:pStyle w:val="Compact"/>
      </w:pPr>
      <w:r>
        <w:rPr>
          <w:bCs/>
          <w:b/>
        </w:rPr>
        <w:t xml:space="preserve">New Customer Acquisition:</w:t>
      </w:r>
      <w:r>
        <w:t xml:space="preserve"> </w:t>
      </w:r>
      <w:r>
        <w:t xml:space="preserve">143 new schools joined in Q3, including 27 from previously untapped community colleges across Sandwell and Solihull districts</w:t>
      </w:r>
    </w:p>
    <w:bookmarkEnd w:id="23"/>
    <w:bookmarkStart w:id="24" w:name="v.-competitive-landscape-analysis"/>
    <w:p>
      <w:pPr>
        <w:pStyle w:val="Heading2"/>
      </w:pPr>
      <w:r>
        <w:t xml:space="preserve">V. Competitive Landscape Analysis</w:t>
      </w:r>
    </w:p>
    <w:p>
      <w:pPr>
        <w:pStyle w:val="FirstParagraph"/>
      </w:pPr>
      <w:r>
        <w:t xml:space="preserve">The Sales Report identifies Birmingham as a battleground for premium educational platforms. While competitors like "EduTech UK" focus on national rollouts, Professor's Birmingham operations have outperformed them through hyper-localization:</w:t>
      </w:r>
    </w:p>
    <w:p>
      <w:pPr>
        <w:numPr>
          <w:ilvl w:val="0"/>
          <w:numId w:val="1002"/>
        </w:numPr>
        <w:pStyle w:val="Compact"/>
      </w:pPr>
      <w:r>
        <w:t xml:space="preserve">Professor's partnership with Birmingham Library Network for free after-school access increased student penetration by 22% in low-income areas</w:t>
      </w:r>
    </w:p>
    <w:p>
      <w:pPr>
        <w:numPr>
          <w:ilvl w:val="0"/>
          <w:numId w:val="1002"/>
        </w:numPr>
        <w:pStyle w:val="Compact"/>
      </w:pPr>
      <w:r>
        <w:t xml:space="preserve">Competitor solutions lacked cultural relevance; Professor integrated Midlands dialect tools and local curriculum mappings (e.g., BCCSC standards) as standard features</w:t>
      </w:r>
    </w:p>
    <w:p>
      <w:pPr>
        <w:numPr>
          <w:ilvl w:val="0"/>
          <w:numId w:val="1002"/>
        </w:numPr>
        <w:pStyle w:val="Compact"/>
      </w:pPr>
      <w:r>
        <w:t xml:space="preserve">Regional pricing model (30% below London rates) made Professor the preferred choice for 68% of Birmingham's public secondary schools surveyed</w:t>
      </w:r>
    </w:p>
    <w:bookmarkEnd w:id="24"/>
    <w:bookmarkStart w:id="25" w:name="vi.-challenges-strategic-adjustments"/>
    <w:p>
      <w:pPr>
        <w:pStyle w:val="Heading2"/>
      </w:pPr>
      <w:r>
        <w:t xml:space="preserve">VI. Challenges &amp; Strategic Adjustments</w:t>
      </w:r>
    </w:p>
    <w:p>
      <w:pPr>
        <w:pStyle w:val="FirstParagraph"/>
      </w:pPr>
      <w:r>
        <w:t xml:space="preserve">This Sales Report acknowledges two key challenges requiring immediate attention:</w:t>
      </w:r>
    </w:p>
    <w:p>
      <w:pPr>
        <w:numPr>
          <w:ilvl w:val="0"/>
          <w:numId w:val="1003"/>
        </w:numPr>
        <w:pStyle w:val="Compact"/>
      </w:pPr>
      <w:r>
        <w:rPr>
          <w:bCs/>
          <w:b/>
        </w:rPr>
        <w:t xml:space="preserve">Infrastructure Gaps:</w:t>
      </w:r>
      <w:r>
        <w:t xml:space="preserve"> </w:t>
      </w:r>
      <w:r>
        <w:t xml:space="preserve">18% of schools in outer Birmingham boroughs reported connectivity issues during trials. Professor deployed mobile Wi-Fi hubs funded by a £50,000 regional grant from the West Midlands Combined Authority.</w:t>
      </w:r>
    </w:p>
    <w:p>
      <w:pPr>
        <w:numPr>
          <w:ilvl w:val="0"/>
          <w:numId w:val="1003"/>
        </w:numPr>
        <w:pStyle w:val="Compact"/>
      </w:pPr>
      <w:r>
        <w:rPr>
          <w:bCs/>
          <w:b/>
        </w:rPr>
        <w:t xml:space="preserve">Staff Training Demand:</w:t>
      </w:r>
      <w:r>
        <w:t xml:space="preserve"> </w:t>
      </w:r>
      <w:r>
        <w:t xml:space="preserve">High implementation needs led to a 37% increase in training requests. Professor launched "Birmingham Champions" program—certifying 42 local educators as peer trainers at no cost to institutions.</w:t>
      </w:r>
    </w:p>
    <w:p>
      <w:pPr>
        <w:pStyle w:val="FirstParagraph"/>
      </w:pPr>
      <w:r>
        <w:t xml:space="preserve">These initiatives directly contributed to the Q3 success, with infrastructure fixes reducing onboarding time from 14 days to 5 days in Birmingham markets.</w:t>
      </w:r>
    </w:p>
    <w:bookmarkEnd w:id="25"/>
    <w:bookmarkStart w:id="26" w:name="X199f2d23ffc857860cfe174577ed57287902112"/>
    <w:p>
      <w:pPr>
        <w:pStyle w:val="Heading2"/>
      </w:pPr>
      <w:r>
        <w:t xml:space="preserve">VII. Future Outlook: Professor's Birmingham Roadmap</w:t>
      </w:r>
    </w:p>
    <w:p>
      <w:pPr>
        <w:pStyle w:val="FirstParagraph"/>
      </w:pPr>
      <w:r>
        <w:t xml:space="preserve">The United Kingdom Birmingham market presents the most compelling growth opportunity for Professor in the UK. This Sales Report projects:</w:t>
      </w:r>
    </w:p>
    <w:p>
      <w:pPr>
        <w:numPr>
          <w:ilvl w:val="0"/>
          <w:numId w:val="1004"/>
        </w:numPr>
        <w:pStyle w:val="Compact"/>
      </w:pPr>
      <w:r>
        <w:t xml:space="preserve">15% revenue increase in Q4 2023 through expansion into vocational colleges (Birmingham's City College, KCOM)</w:t>
      </w:r>
    </w:p>
    <w:p>
      <w:pPr>
        <w:numPr>
          <w:ilvl w:val="0"/>
          <w:numId w:val="1004"/>
        </w:numPr>
        <w:pStyle w:val="Compact"/>
      </w:pPr>
      <w:r>
        <w:t xml:space="preserve">Leveraging Birmingham's "Digital Skills Campus" initiative to integrate Professor with apprenticeship programs</w:t>
      </w:r>
    </w:p>
    <w:p>
      <w:pPr>
        <w:numPr>
          <w:ilvl w:val="0"/>
          <w:numId w:val="1004"/>
        </w:numPr>
        <w:pStyle w:val="Compact"/>
      </w:pPr>
      <w:r>
        <w:t xml:space="preserve">Establishing Birmingham as the regional headquarters for Professor's UK operations by Q1 2024, consolidating all UK sales and support teams in the city</w:t>
      </w:r>
    </w:p>
    <w:p>
      <w:pPr>
        <w:pStyle w:val="FirstParagraph"/>
      </w:pPr>
      <w:r>
        <w:t xml:space="preserve">As highlighted in this comprehensive Sales Report, Birmingham isn't just another market—it's proving to be Professor's most valuable strategic asset. The city's blend of educational institutions, economic regeneration efforts, and community focus has created an ideal ecosystem for Professor to scale sustainably while delivering measurable impact on student outcomes.</w:t>
      </w:r>
    </w:p>
    <w:bookmarkEnd w:id="26"/>
    <w:bookmarkStart w:id="27" w:name="viii.-conclusion"/>
    <w:p>
      <w:pPr>
        <w:pStyle w:val="Heading2"/>
      </w:pPr>
      <w:r>
        <w:t xml:space="preserve">VIII. Conclusion</w:t>
      </w:r>
    </w:p>
    <w:p>
      <w:pPr>
        <w:pStyle w:val="FirstParagraph"/>
      </w:pPr>
      <w:r>
        <w:t xml:space="preserve">The Q3 Sales Report confirms that United Kingdom Birmingham is the cornerstone of Professor's UK market strategy. By embedding ourselves within Birmingham's educational fabric—through localized support, culturally intelligent product design, and community partnerships—we've created a replicable model for national expansion. The 34% YoY growth in this market validates our commitment to Birmingham as a flagship location. As Professor continues to grow across the United Kingdom, our Birmingham operations will serve as the blueprint for how educational technology can thrive in diverse urban environments while maintaining premium value and measurable impact.</w:t>
      </w:r>
    </w:p>
    <w:p>
      <w:pPr>
        <w:pStyle w:val="BodyText"/>
      </w:pPr>
      <w:r>
        <w:rPr>
          <w:bCs/>
          <w:b/>
        </w:rPr>
        <w:t xml:space="preserve">Prepared by:</w:t>
      </w:r>
      <w:r>
        <w:t xml:space="preserve"> </w:t>
      </w:r>
      <w:r>
        <w:t xml:space="preserve">Professor UK Sales Analytics Team</w:t>
      </w:r>
      <w:r>
        <w:br/>
      </w:r>
      <w:r>
        <w:rPr>
          <w:bCs/>
          <w:b/>
        </w:rPr>
        <w:t xml:space="preserve">Contact:</w:t>
      </w:r>
      <w:r>
        <w:t xml:space="preserve"> </w:t>
      </w:r>
      <w:r>
        <w:t xml:space="preserve">sales.uk@professor.education | +44 (0)121 365 7890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United Kingdom Birmingham Market Analysis</dc:title>
  <dc:creator/>
  <dc:language>en</dc:language>
  <cp:keywords/>
  <dcterms:created xsi:type="dcterms:W3CDTF">2026-07-23T21:21:09Z</dcterms:created>
  <dcterms:modified xsi:type="dcterms:W3CDTF">2026-07-23T21:21:09Z</dcterms:modified>
</cp:coreProperties>
</file>

<file path=docProps/custom.xml><?xml version="1.0" encoding="utf-8"?>
<Properties xmlns="http://schemas.openxmlformats.org/officeDocument/2006/custom-properties" xmlns:vt="http://schemas.openxmlformats.org/officeDocument/2006/docPropsVTypes"/>
</file>