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r>
        <w:t xml:space="preserve"> </w:t>
      </w:r>
      <w:r>
        <w:t xml:space="preserve">-</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7" w:name="X2a217b0509b1676bef2fa9f3b746a68a9297316"/>
    <w:p>
      <w:pPr>
        <w:pStyle w:val="Heading1"/>
      </w:pPr>
      <w:r>
        <w:t xml:space="preserve">COMPREHENSIVE SALES REPORT</w:t>
      </w:r>
      <w:r>
        <w:br/>
      </w:r>
      <w:r>
        <w:t xml:space="preserve">PROFESSOR PRODUCT LINE</w:t>
      </w:r>
      <w:r>
        <w:br/>
      </w:r>
      <w:r>
        <w:t xml:space="preserve">UNITED KINGDOM LONDON MARKET</w:t>
      </w:r>
    </w:p>
    <w:p>
      <w:pPr>
        <w:pStyle w:val="FirstParagraph"/>
      </w:pPr>
      <w:r>
        <w:t xml:space="preserve">Quarterly Performance Analysis | Q2 2023 | Prepared for Executive Leadership</w:t>
      </w:r>
    </w:p>
    <w:bookmarkStart w:id="20" w:name="executive-summary"/>
    <w:p>
      <w:pPr>
        <w:pStyle w:val="Heading2"/>
      </w:pPr>
      <w:r>
        <w:t xml:space="preserve">Executive Summary</w:t>
      </w:r>
    </w:p>
    <w:p>
      <w:pPr>
        <w:pStyle w:val="FirstParagraph"/>
      </w:pPr>
      <w:r>
        <w:t xml:space="preserve">This Sales Report provides a detailed analysis of the Professor product line's performance across the United Kingdom London market during Q2 2023. The Professor platform—a cutting-edge educational technology solution designed for university faculty—has demonstrated remarkable growth in our flagship metropolitan market, achieving a 37% year-over-year increase in revenue despite challenging economic conditions. London remains our most valuable territory, contributing 42% of total UK sales volume while maintaining the highest customer retention rate (89%) across all regional markets. This report examines key metrics, market dynamics, and strategic recommendations to capitalize on London's unique educational ecosystem.</w:t>
      </w:r>
    </w:p>
    <w:bookmarkEnd w:id="20"/>
    <w:bookmarkStart w:id="21" w:name="Xd36e19d216fedf4f4ae4c7849d206c5f1cd87b8"/>
    <w:p>
      <w:pPr>
        <w:pStyle w:val="Heading2"/>
      </w:pPr>
      <w:r>
        <w:t xml:space="preserve">Market Context: Professor in United Kingdom London</w:t>
      </w:r>
    </w:p>
    <w:p>
      <w:pPr>
        <w:pStyle w:val="FirstParagraph"/>
      </w:pPr>
      <w:r>
        <w:t xml:space="preserve">London's educational landscape represents a critical frontier for the Professor product line. As the UK's academic capital housing 40+ world-ranked institutions including University College London (UCL), King's College London, and Imperial College, this market demands premium solutions that address specialized pedagogical challenges. The Professor platform—featuring AI-driven lesson planning, student engagement analytics, and collaborative curriculum tools—has become the preferred solution for 68% of surveyed faculty at top-tier London universities. This dominance stems from our deep integration with London-specific educational frameworks like the</w:t>
      </w:r>
      <w:r>
        <w:t xml:space="preserve"> </w:t>
      </w:r>
      <w:r>
        <w:rPr>
          <w:iCs/>
          <w:i/>
        </w:rPr>
        <w:t xml:space="preserve">Higher Education Quality Assurance Agency (HEA)</w:t>
      </w:r>
      <w:r>
        <w:t xml:space="preserve"> </w:t>
      </w:r>
      <w:r>
        <w:t xml:space="preserve">standards and seamless compatibility with London's major campus management systems (e.g., Canvas, Moodle).</w:t>
      </w:r>
    </w:p>
    <w:bookmarkEnd w:id="21"/>
    <w:bookmarkStart w:id="22" w:name="sales-performance-highlights"/>
    <w:p>
      <w:pPr>
        <w:pStyle w:val="Heading2"/>
      </w:pPr>
      <w:r>
        <w:t xml:space="preserve">Sales Performance Highlights</w:t>
      </w:r>
    </w:p>
    <w:p>
      <w:pPr>
        <w:pStyle w:val="FirstParagraph"/>
      </w:pPr>
      <w:r>
        <w:t xml:space="preserve">Key Metric</w:t>
      </w:r>
    </w:p>
    <w:p>
      <w:pPr>
        <w:pStyle w:val="BodyText"/>
      </w:pPr>
      <w:r>
        <w:t xml:space="preserve">Q2 2023</w:t>
      </w:r>
    </w:p>
    <w:p>
      <w:pPr>
        <w:pStyle w:val="BodyText"/>
      </w:pPr>
      <w:r>
        <w:t xml:space="preserve">Q1 2023</w:t>
      </w:r>
    </w:p>
    <w:p>
      <w:pPr>
        <w:pStyle w:val="BodyText"/>
      </w:pPr>
      <w:r>
        <w:t xml:space="preserve">YoY Change</w:t>
      </w:r>
    </w:p>
    <w:p>
      <w:pPr>
        <w:pStyle w:val="BodyText"/>
      </w:pPr>
      <w:r>
        <w:t xml:space="preserve">Total Revenue (London)</w:t>
      </w:r>
    </w:p>
    <w:p>
      <w:pPr>
        <w:pStyle w:val="BodyText"/>
      </w:pPr>
      <w:r>
        <w:t xml:space="preserve">£2.48M</w:t>
      </w:r>
    </w:p>
    <w:p>
      <w:pPr>
        <w:pStyle w:val="BodyText"/>
      </w:pPr>
      <w:r>
        <w:t xml:space="preserve">£1.95M</w:t>
      </w:r>
    </w:p>
    <w:p>
      <w:pPr>
        <w:pStyle w:val="BodyText"/>
      </w:pPr>
      <w:r>
        <w:t xml:space="preserve">+37% YoY</w:t>
      </w:r>
    </w:p>
    <w:p>
      <w:pPr>
        <w:pStyle w:val="BodyText"/>
      </w:pPr>
      <w:r>
        <w:t xml:space="preserve">New University Contracts</w:t>
      </w:r>
    </w:p>
    <w:p>
      <w:pPr>
        <w:pStyle w:val="BodyText"/>
      </w:pPr>
      <w:r>
        <w:t xml:space="preserve">22 Institutions</w:t>
      </w:r>
    </w:p>
    <w:p>
      <w:pPr>
        <w:pStyle w:val="BodyText"/>
      </w:pPr>
      <w:r>
        <w:t xml:space="preserve">14 Institutions</w:t>
      </w:r>
    </w:p>
    <w:p>
      <w:pPr>
        <w:pStyle w:val="BodyText"/>
      </w:pPr>
      <w:r>
        <w:t xml:space="preserve">+57% YoY</w:t>
      </w:r>
    </w:p>
    <w:p>
      <w:pPr>
        <w:pStyle w:val="BodyText"/>
      </w:pPr>
      <w:r>
        <w:t xml:space="preserve">Customer Retention Rate</w:t>
      </w:r>
    </w:p>
    <w:p>
      <w:pPr>
        <w:pStyle w:val="BodyText"/>
      </w:pPr>
      <w:r>
        <w:t xml:space="preserve">89%</w:t>
      </w:r>
    </w:p>
    <w:p>
      <w:pPr>
        <w:pStyle w:val="BodyText"/>
      </w:pPr>
      <w:r>
        <w:t xml:space="preserve">84%</w:t>
      </w:r>
    </w:p>
    <w:p>
      <w:pPr>
        <w:pStyle w:val="BodyText"/>
      </w:pPr>
      <w:r>
        <w:t xml:space="preserve">+5 pts YoY</w:t>
      </w:r>
    </w:p>
    <w:p>
      <w:pPr>
        <w:pStyle w:val="BodyText"/>
      </w:pPr>
      <w:r>
        <w:t xml:space="preserve">Average Contract Value (ACV)</w:t>
      </w:r>
    </w:p>
    <w:p>
      <w:pPr>
        <w:pStyle w:val="BodyText"/>
      </w:pPr>
      <w:r>
        <w:t xml:space="preserve">£82,500</w:t>
      </w:r>
    </w:p>
    <w:p>
      <w:pPr>
        <w:pStyle w:val="BodyText"/>
      </w:pPr>
      <w:r>
        <w:t xml:space="preserve">£74,200</w:t>
      </w:r>
    </w:p>
    <w:p>
      <w:pPr>
        <w:pStyle w:val="BodyText"/>
      </w:pPr>
      <w:r>
        <w:t xml:space="preserve">+11% YoY</w:t>
      </w:r>
    </w:p>
    <w:p>
      <w:pPr>
        <w:pStyle w:val="BodyText"/>
      </w:pPr>
      <w:r>
        <w:t xml:space="preserve">London Market Share</w:t>
      </w:r>
    </w:p>
    <w:p>
      <w:pPr>
        <w:pStyle w:val="BodyText"/>
      </w:pPr>
      <w:r>
        <w:t xml:space="preserve">54%</w:t>
      </w:r>
    </w:p>
    <w:p>
      <w:pPr>
        <w:pStyle w:val="BodyText"/>
      </w:pPr>
      <w:r>
        <w:t xml:space="preserve">48%</w:t>
      </w:r>
    </w:p>
    <w:p>
      <w:pPr>
        <w:pStyle w:val="BodyText"/>
      </w:pPr>
      <w:r>
        <w:t xml:space="preserve">+6 pts YoY</w:t>
      </w:r>
    </w:p>
    <w:p>
      <w:pPr>
        <w:pStyle w:val="BodyText"/>
      </w:pPr>
      <w:r>
        <w:t xml:space="preserve">The London market achieved unprecedented growth through strategic partnerships with key educational bodies. Notable successes include:</w:t>
      </w:r>
    </w:p>
    <w:p>
      <w:pPr>
        <w:numPr>
          <w:ilvl w:val="0"/>
          <w:numId w:val="1001"/>
        </w:numPr>
        <w:pStyle w:val="Compact"/>
      </w:pPr>
      <w:r>
        <w:rPr>
          <w:bCs/>
          <w:b/>
        </w:rPr>
        <w:t xml:space="preserve">UCL Partnership Expansion:</w:t>
      </w:r>
      <w:r>
        <w:t xml:space="preserve"> </w:t>
      </w:r>
      <w:r>
        <w:t xml:space="preserve">Secured a £1.2M multi-year contract covering all 11 faculties, increasing our presence from 3 to 65 departments</w:t>
      </w:r>
    </w:p>
    <w:p>
      <w:pPr>
        <w:numPr>
          <w:ilvl w:val="0"/>
          <w:numId w:val="1001"/>
        </w:numPr>
        <w:pStyle w:val="Compact"/>
      </w:pPr>
      <w:r>
        <w:rPr>
          <w:bCs/>
          <w:b/>
        </w:rPr>
        <w:t xml:space="preserve">King's College London Adoption:</w:t>
      </w:r>
      <w:r>
        <w:t xml:space="preserve"> </w:t>
      </w:r>
      <w:r>
        <w:t xml:space="preserve">Onboarded 2,300 faculty members across medicine and humanities programs after targeted pilot program in Q1</w:t>
      </w:r>
    </w:p>
    <w:p>
      <w:pPr>
        <w:numPr>
          <w:ilvl w:val="0"/>
          <w:numId w:val="1001"/>
        </w:numPr>
        <w:pStyle w:val="Compact"/>
      </w:pPr>
      <w:r>
        <w:rPr>
          <w:bCs/>
          <w:b/>
        </w:rPr>
        <w:t xml:space="preserve">City University Consortium:</w:t>
      </w:r>
      <w:r>
        <w:t xml:space="preserve"> </w:t>
      </w:r>
      <w:r>
        <w:t xml:space="preserve">Closed three major institutions in the City of London financial district through specialized business school packages</w:t>
      </w:r>
    </w:p>
    <w:bookmarkEnd w:id="22"/>
    <w:bookmarkStart w:id="23" w:name="london-specific-market-dynamics"/>
    <w:p>
      <w:pPr>
        <w:pStyle w:val="Heading2"/>
      </w:pPr>
      <w:r>
        <w:t xml:space="preserve">London-Specific Market Dynamics</w:t>
      </w:r>
    </w:p>
    <w:p>
      <w:pPr>
        <w:pStyle w:val="FirstParagraph"/>
      </w:pPr>
      <w:r>
        <w:t xml:space="preserve">The United Kingdom London market presents unique advantages and complexities for Professor sales. Unlike other UK regions, London's concentration of elite institutions demands hyper-personalized solutions. For instance, our "Professor Enterprise" tier was specifically developed to address the needs of London's research-intensive universities requiring GDPR-compliant data handling for EU-bound academic collaborations. The city's high faculty turnover rate (18% annually) also necessitates our rapid onboarding program—reducing implementation time by 40% compared to national averages.</w:t>
      </w:r>
    </w:p>
    <w:p>
      <w:pPr>
        <w:pStyle w:val="BodyText"/>
      </w:pPr>
      <w:r>
        <w:t xml:space="preserve">Government initiatives have further accelerated adoption. The Department for Education's recent £50M "Digital Teaching Transformation Fund" specifically prioritizes London institutions, creating a perfect alignment with Professor's capabilities. Additionally, London's diverse student body (with over 35% international students at major universities) has driven demand for our multilingual support features within the Professor platform.</w:t>
      </w:r>
    </w:p>
    <w:bookmarkEnd w:id="23"/>
    <w:bookmarkStart w:id="24" w:name="Xe6ddcb9747dc64cdc5758713ac7d34f63f5ece1"/>
    <w:p>
      <w:pPr>
        <w:pStyle w:val="Heading2"/>
      </w:pPr>
      <w:r>
        <w:t xml:space="preserve">Challenges in United Kingdom London Market</w:t>
      </w:r>
    </w:p>
    <w:p>
      <w:pPr>
        <w:pStyle w:val="FirstParagraph"/>
      </w:pPr>
      <w:r>
        <w:t xml:space="preserve">Despite strong performance, several challenges emerged during Q2 2023:</w:t>
      </w:r>
    </w:p>
    <w:p>
      <w:pPr>
        <w:numPr>
          <w:ilvl w:val="0"/>
          <w:numId w:val="1002"/>
        </w:numPr>
        <w:pStyle w:val="Compact"/>
      </w:pPr>
      <w:r>
        <w:rPr>
          <w:bCs/>
          <w:b/>
        </w:rPr>
        <w:t xml:space="preserve">Competitive Pressure:</w:t>
      </w:r>
      <w:r>
        <w:t xml:space="preserve"> </w:t>
      </w:r>
      <w:r>
        <w:t xml:space="preserve">Rising competition from UK-based EdTech startups offering cheaper alternatives, particularly targeting budget-conscious London colleges</w:t>
      </w:r>
    </w:p>
    <w:p>
      <w:pPr>
        <w:numPr>
          <w:ilvl w:val="0"/>
          <w:numId w:val="1002"/>
        </w:numPr>
        <w:pStyle w:val="Compact"/>
      </w:pPr>
      <w:r>
        <w:rPr>
          <w:bCs/>
          <w:b/>
        </w:rPr>
        <w:t xml:space="preserve">Talent Acquisition:</w:t>
      </w:r>
      <w:r>
        <w:t xml:space="preserve"> </w:t>
      </w:r>
      <w:r>
        <w:t xml:space="preserve">Difficulty recruiting specialized sales engineers with expertise in both educational technology and London's complex university procurement cycles</w:t>
      </w:r>
    </w:p>
    <w:p>
      <w:pPr>
        <w:numPr>
          <w:ilvl w:val="0"/>
          <w:numId w:val="1002"/>
        </w:numPr>
        <w:pStyle w:val="Compact"/>
      </w:pPr>
      <w:r>
        <w:rPr>
          <w:bCs/>
          <w:b/>
        </w:rPr>
        <w:t xml:space="preserve">Economic Sensitivity:</w:t>
      </w:r>
      <w:r>
        <w:t xml:space="preserve"> </w:t>
      </w:r>
      <w:r>
        <w:t xml:space="preserve">Budget constraints at some institutions due to post-pandemic funding reductions, requiring flexible payment structures</w:t>
      </w:r>
    </w:p>
    <w:p>
      <w:pPr>
        <w:pStyle w:val="FirstParagraph"/>
      </w:pPr>
      <w:r>
        <w:t xml:space="preserve">To counter these challenges, our London sales team implemented a "Professor Academic Ambassador" program—training current users as advocates. This initiative reduced customer acquisition costs by 28% and generated 43% of new leads in Q2.</w:t>
      </w:r>
    </w:p>
    <w:bookmarkEnd w:id="24"/>
    <w:bookmarkStart w:id="25" w:name="Xd3e2ff42a526202d70bdda7924634927f8c4a59"/>
    <w:p>
      <w:pPr>
        <w:pStyle w:val="Heading2"/>
      </w:pPr>
      <w:r>
        <w:t xml:space="preserve">Strategic Recommendations for London Growth</w:t>
      </w:r>
    </w:p>
    <w:p>
      <w:pPr>
        <w:pStyle w:val="FirstParagraph"/>
      </w:pPr>
      <w:r>
        <w:t xml:space="preserve">Based on comprehensive analysis, we recommend three priority actions for sustaining Professor market leadership in United Kingdom London:</w:t>
      </w:r>
    </w:p>
    <w:p>
      <w:pPr>
        <w:numPr>
          <w:ilvl w:val="0"/>
          <w:numId w:val="1003"/>
        </w:numPr>
        <w:pStyle w:val="Compact"/>
      </w:pPr>
      <w:r>
        <w:rPr>
          <w:bCs/>
          <w:b/>
        </w:rPr>
        <w:t xml:space="preserve">London-Specific Product Enhancement:</w:t>
      </w:r>
      <w:r>
        <w:t xml:space="preserve"> </w:t>
      </w:r>
      <w:r>
        <w:t xml:space="preserve">Develop "Professor International" module to support UK visa documentation requirements for global faculty—addressing a critical need at London institutions with high international staff percentages.</w:t>
      </w:r>
    </w:p>
    <w:p>
      <w:pPr>
        <w:numPr>
          <w:ilvl w:val="0"/>
          <w:numId w:val="1003"/>
        </w:numPr>
        <w:pStyle w:val="Compact"/>
      </w:pPr>
      <w:r>
        <w:rPr>
          <w:bCs/>
          <w:b/>
        </w:rPr>
        <w:t xml:space="preserve">Government Relations Initiative:</w:t>
      </w:r>
      <w:r>
        <w:t xml:space="preserve"> </w:t>
      </w:r>
      <w:r>
        <w:t xml:space="preserve">Establish dedicated policy team to engage with Department for Education's new "EdTech Innovation Fund," targeting £2.3M in co-investment opportunities for London-based projects.</w:t>
      </w:r>
    </w:p>
    <w:p>
      <w:pPr>
        <w:numPr>
          <w:ilvl w:val="0"/>
          <w:numId w:val="1003"/>
        </w:numPr>
        <w:pStyle w:val="Compact"/>
      </w:pPr>
      <w:r>
        <w:rPr>
          <w:bCs/>
          <w:b/>
        </w:rPr>
        <w:t xml:space="preserve">London University Partnerships Program:</w:t>
      </w:r>
      <w:r>
        <w:t xml:space="preserve"> </w:t>
      </w:r>
      <w:r>
        <w:t xml:space="preserve">Create tiered partnership structure with top 15 London institutions offering co-branded research initiatives and exclusive feature development—leveraging our existing 68% market penetration among elite universities.</w:t>
      </w:r>
    </w:p>
    <w:bookmarkEnd w:id="25"/>
    <w:bookmarkStart w:id="26" w:name="X51f821339899d78579f0101fb78cfd1dc6f00d8"/>
    <w:p>
      <w:pPr>
        <w:pStyle w:val="Heading2"/>
      </w:pPr>
      <w:r>
        <w:t xml:space="preserve">Conclusion: Professor's London Leadership Position</w:t>
      </w:r>
    </w:p>
    <w:p>
      <w:pPr>
        <w:pStyle w:val="FirstParagraph"/>
      </w:pPr>
      <w:r>
        <w:t xml:space="preserve">The United Kingdom London market has solidified its position as the strategic cornerstone of Professor's UK operations. With revenue growth outperforming national averages by 2.3x and customer retention setting new benchmarks, this territory exemplifies how deep market understanding drives commercial success. The Professor platform has transcended being merely a product—it is now an indispensable part of London's educational infrastructure, enabling institutions to navigate evolving academic standards while enhancing student outcomes.</w:t>
      </w:r>
    </w:p>
    <w:p>
      <w:pPr>
        <w:pStyle w:val="BodyText"/>
      </w:pPr>
      <w:r>
        <w:t xml:space="preserve">As we look ahead to Q3 2023, our focus remains on deepening relationships with London's academic community rather than broad market expansion. By embedding Professor as the operational backbone for teaching excellence across United Kingdom London's premier institutions, we will secure sustainable growth while delivering exceptional value to both customers and shareholders. The data is unequivocal: London isn't just a market for Professor—it is where Professor leadership is forged.</w:t>
      </w:r>
    </w:p>
    <w:p>
      <w:pPr>
        <w:pStyle w:val="BodyText"/>
      </w:pPr>
      <w:r>
        <w:t xml:space="preserve">Prepared by the UK Sales Strategy Division | June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Professor Product Line - United Kingdom London Market</dc:title>
  <dc:creator/>
  <cp:keywords/>
  <dcterms:created xsi:type="dcterms:W3CDTF">2026-07-23T20:31:33Z</dcterms:created>
  <dcterms:modified xsi:type="dcterms:W3CDTF">2026-07-23T20:31:33Z</dcterms:modified>
</cp:coreProperties>
</file>

<file path=docProps/custom.xml><?xml version="1.0" encoding="utf-8"?>
<Properties xmlns="http://schemas.openxmlformats.org/officeDocument/2006/custom-properties" xmlns:vt="http://schemas.openxmlformats.org/officeDocument/2006/docPropsVTypes"/>
</file>