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Houston</w:t>
      </w:r>
      <w:r>
        <w:t xml:space="preserve"> </w:t>
      </w:r>
      <w:r>
        <w:t xml:space="preserve">Market</w:t>
      </w:r>
      <w:r>
        <w:t xml:space="preserve"> </w:t>
      </w:r>
      <w:r>
        <w:t xml:space="preserve">Analysis</w:t>
      </w:r>
    </w:p>
    <w:bookmarkStart w:id="27" w:name="X1b900357f8b84e07adc0a3b6401c283fb987718"/>
    <w:p>
      <w:pPr>
        <w:pStyle w:val="Heading1"/>
      </w:pPr>
      <w:r>
        <w:t xml:space="preserve">Comprehensive Sales Report: Professor Educational Platform Performance in United States Houston</w:t>
      </w:r>
    </w:p>
    <w:bookmarkStart w:id="20" w:name="executive-summary"/>
    <w:p>
      <w:pPr>
        <w:pStyle w:val="Heading2"/>
      </w:pPr>
      <w:r>
        <w:t xml:space="preserve">Executive Summary</w:t>
      </w:r>
    </w:p>
    <w:p>
      <w:pPr>
        <w:pStyle w:val="FirstParagraph"/>
      </w:pPr>
      <w:r>
        <w:t xml:space="preserve">This official Sales Report details the performance of the "Professor" educational platform across the United States Houston market during Q1-Q3 2023. As a leading AI-powered learning solution, Professor has demonstrated remarkable adoption rates in Houston's diverse educational landscape, achieving 147% year-over-year growth in subscription revenue. This report confirms that United States Houston has become our most lucrative metropolitan market, contributing 38% of total North American revenue despite representing only 2.1% of the U.S. population. The platform's success stems from its tailored approach to Houston's unique educational ecosystem, including partnerships with Harris County school districts and strategic alignment with the city's STEM workforce initiatives.</w:t>
      </w:r>
    </w:p>
    <w:bookmarkEnd w:id="20"/>
    <w:bookmarkStart w:id="21" w:name="sales-performance-metrics-houston-market"/>
    <w:p>
      <w:pPr>
        <w:pStyle w:val="Heading2"/>
      </w:pPr>
      <w:r>
        <w:t xml:space="preserve">Sales Performance Metrics (Houston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Subscriptions Sold</w:t>
            </w:r>
          </w:p>
        </w:tc>
        <w:tc>
          <w:tcPr/>
          <w:p>
            <w:pPr>
              <w:pStyle w:val="Compact"/>
              <w:jc w:val="left"/>
            </w:pPr>
            <w:r>
              <w:t xml:space="preserve">Revenue Generated</w:t>
            </w:r>
          </w:p>
        </w:tc>
        <w:tc>
          <w:tcPr/>
          <w:p>
            <w:pPr>
              <w:pStyle w:val="Compact"/>
              <w:jc w:val="left"/>
            </w:pPr>
            <w:r>
              <w:t xml:space="preserve">Growth vs Previous Qtr</w:t>
            </w:r>
          </w:p>
        </w:tc>
      </w:tr>
      <w:tr>
        <w:tc>
          <w:tcPr/>
          <w:p>
            <w:pPr>
              <w:pStyle w:val="Compact"/>
              <w:jc w:val="left"/>
            </w:pPr>
            <w:r>
              <w:t xml:space="preserve">Q1 2023</w:t>
            </w:r>
          </w:p>
        </w:tc>
        <w:tc>
          <w:tcPr/>
          <w:p>
            <w:pPr>
              <w:pStyle w:val="Compact"/>
              <w:jc w:val="left"/>
            </w:pPr>
            <w:r>
              <w:t xml:space="preserve">8,450</w:t>
            </w:r>
          </w:p>
        </w:tc>
        <w:tc>
          <w:tcPr/>
          <w:p>
            <w:pPr>
              <w:pStyle w:val="Compact"/>
              <w:jc w:val="left"/>
            </w:pPr>
            <w:r>
              <w:t xml:space="preserve">$1.27M</w:t>
            </w:r>
          </w:p>
        </w:tc>
        <w:tc>
          <w:tcPr/>
          <w:p>
            <w:pPr>
              <w:pStyle w:val="Compact"/>
              <w:jc w:val="left"/>
            </w:pPr>
            <w:r>
              <w:t xml:space="preserve">- (Baseline)</w:t>
            </w:r>
          </w:p>
        </w:tc>
      </w:tr>
      <w:tr>
        <w:tc>
          <w:tcPr/>
          <w:p>
            <w:pPr>
              <w:pStyle w:val="Compact"/>
              <w:jc w:val="left"/>
            </w:pPr>
            <w:r>
              <w:t xml:space="preserve">Q2 2023</w:t>
            </w:r>
          </w:p>
        </w:tc>
        <w:tc>
          <w:tcPr/>
          <w:p>
            <w:pPr>
              <w:pStyle w:val="Compact"/>
              <w:jc w:val="left"/>
            </w:pPr>
            <w:r>
              <w:t xml:space="preserve">15,630</w:t>
            </w:r>
          </w:p>
        </w:tc>
        <w:tc>
          <w:tcPr/>
          <w:p>
            <w:pPr>
              <w:pStyle w:val="Compact"/>
              <w:jc w:val="left"/>
            </w:pPr>
            <w:r>
              <w:t xml:space="preserve">$2.49M</w:t>
            </w:r>
          </w:p>
        </w:tc>
        <w:tc>
          <w:tcPr/>
          <w:p>
            <w:pPr>
              <w:pStyle w:val="Compact"/>
              <w:jc w:val="left"/>
            </w:pPr>
            <w:r>
              <w:t xml:space="preserve">85% increase</w:t>
            </w:r>
          </w:p>
        </w:tc>
      </w:tr>
      <w:tr>
        <w:tc>
          <w:tcPr/>
          <w:p>
            <w:pPr>
              <w:pStyle w:val="Compact"/>
              <w:jc w:val="left"/>
            </w:pPr>
            <w:r>
              <w:t xml:space="preserve">Q3 2023</w:t>
            </w:r>
          </w:p>
        </w:tc>
        <w:tc>
          <w:tcPr/>
          <w:p>
            <w:pPr>
              <w:pStyle w:val="Compact"/>
              <w:jc w:val="left"/>
            </w:pPr>
            <w:r>
              <w:t xml:space="preserve">21,870</w:t>
            </w:r>
          </w:p>
        </w:tc>
        <w:tc>
          <w:tcPr/>
          <w:p>
            <w:pPr>
              <w:pStyle w:val="Compact"/>
              <w:jc w:val="left"/>
            </w:pPr>
            <w:r>
              <w:t xml:space="preserve">$3.65M</w:t>
            </w:r>
          </w:p>
        </w:tc>
        <w:tc>
          <w:tcPr/>
          <w:p>
            <w:pPr>
              <w:pStyle w:val="Compact"/>
              <w:jc w:val="left"/>
            </w:pPr>
            <w:r>
              <w:t xml:space="preserve">40% increase</w:t>
            </w:r>
          </w:p>
        </w:tc>
      </w:tr>
    </w:tbl>
    <w:p>
      <w:pPr>
        <w:pStyle w:val="BodyText"/>
      </w:pPr>
      <w:r>
        <w:t xml:space="preserve">The Houston market has consistently exceeded projections, with the Professor platform capturing 27% of the enterprise education technology segment in Texas. Notable achievements include securing contracts with 12 Houston Independent School District (HISD) campuses and a landmark partnership with the University of Houston to integrate Professor into their undergraduate curriculum. The city's demographic diversity—49% Hispanic, 30% Black, 17% White—has been crucial for our platform's culturally responsive content strategy, directly contributing to a 62% retention rate among Houston users.</w:t>
      </w:r>
    </w:p>
    <w:bookmarkEnd w:id="21"/>
    <w:bookmarkStart w:id="22" w:name="market-analysis-why-houston-outperforms"/>
    <w:p>
      <w:pPr>
        <w:pStyle w:val="Heading2"/>
      </w:pPr>
      <w:r>
        <w:t xml:space="preserve">Market Analysis: Why Houston Outperforms</w:t>
      </w:r>
    </w:p>
    <w:p>
      <w:pPr>
        <w:pStyle w:val="FirstParagraph"/>
      </w:pPr>
      <w:r>
        <w:t xml:space="preserve">The United States Houston market presents unique advantages that have propelled Professor's success:</w:t>
      </w:r>
    </w:p>
    <w:p>
      <w:pPr>
        <w:numPr>
          <w:ilvl w:val="0"/>
          <w:numId w:val="1001"/>
        </w:numPr>
        <w:pStyle w:val="Compact"/>
      </w:pPr>
      <w:r>
        <w:rPr>
          <w:bCs/>
          <w:b/>
        </w:rPr>
        <w:t xml:space="preserve">Demand Catalysts:</w:t>
      </w:r>
      <w:r>
        <w:t xml:space="preserve"> </w:t>
      </w:r>
      <w:r>
        <w:t xml:space="preserve">Rising focus on K-12 STEM education (Houston ranks #3 nationally for STEM school investment) and the city's 58,000+ annual university graduates create fertile ground for educational technology.</w:t>
      </w:r>
    </w:p>
    <w:p>
      <w:pPr>
        <w:numPr>
          <w:ilvl w:val="0"/>
          <w:numId w:val="1001"/>
        </w:numPr>
        <w:pStyle w:val="Compact"/>
      </w:pPr>
      <w:r>
        <w:rPr>
          <w:bCs/>
          <w:b/>
        </w:rPr>
        <w:t xml:space="preserve">Cultural Alignment:</w:t>
      </w:r>
      <w:r>
        <w:t xml:space="preserve"> </w:t>
      </w:r>
      <w:r>
        <w:t xml:space="preserve">Professor's multilingual interface (English/Spanish) and Houston-specific case studies have resonated deeply with the region's immigrant communities, representing 42% of our Houston user base.</w:t>
      </w:r>
    </w:p>
    <w:p>
      <w:pPr>
        <w:numPr>
          <w:ilvl w:val="0"/>
          <w:numId w:val="1001"/>
        </w:numPr>
        <w:pStyle w:val="Compact"/>
      </w:pPr>
      <w:r>
        <w:rPr>
          <w:bCs/>
          <w:b/>
        </w:rPr>
        <w:t xml:space="preserve">Economic Synergy:</w:t>
      </w:r>
      <w:r>
        <w:t xml:space="preserve"> </w:t>
      </w:r>
      <w:r>
        <w:t xml:space="preserve">Partnerships with major employers like NASA Johnson Space Center and Memorial Hermann Healthcare System to offer Professor as employee training programs have generated $850K in corporate contracts during Q3 alone.</w:t>
      </w:r>
    </w:p>
    <w:bookmarkEnd w:id="22"/>
    <w:bookmarkStart w:id="23" w:name="marketing-strategy-implementation"/>
    <w:p>
      <w:pPr>
        <w:pStyle w:val="Heading2"/>
      </w:pPr>
      <w:r>
        <w:t xml:space="preserve">Marketing Strategy Implementation</w:t>
      </w:r>
    </w:p>
    <w:p>
      <w:pPr>
        <w:pStyle w:val="FirstParagraph"/>
      </w:pPr>
      <w:r>
        <w:t xml:space="preserve">In United States Houston, our hyper-localized marketing strategy centered on three pillars:</w:t>
      </w:r>
    </w:p>
    <w:p>
      <w:pPr>
        <w:numPr>
          <w:ilvl w:val="0"/>
          <w:numId w:val="1002"/>
        </w:numPr>
        <w:pStyle w:val="Compact"/>
      </w:pPr>
      <w:r>
        <w:rPr>
          <w:bCs/>
          <w:b/>
        </w:rPr>
        <w:t xml:space="preserve">Community Integration:</w:t>
      </w:r>
      <w:r>
        <w:t xml:space="preserve"> </w:t>
      </w:r>
      <w:r>
        <w:t xml:space="preserve">Co-hosting "Professor Educator Summits" with HCC (Houston Community College) at the George R. Brown Convention Center, attracting 1,400 educators in Q2 2023.</w:t>
      </w:r>
    </w:p>
    <w:p>
      <w:pPr>
        <w:numPr>
          <w:ilvl w:val="0"/>
          <w:numId w:val="1002"/>
        </w:numPr>
        <w:pStyle w:val="Compact"/>
      </w:pPr>
      <w:r>
        <w:rPr>
          <w:bCs/>
          <w:b/>
        </w:rPr>
        <w:t xml:space="preserve">School District Partnerships:</w:t>
      </w:r>
      <w:r>
        <w:t xml:space="preserve"> </w:t>
      </w:r>
      <w:r>
        <w:t xml:space="preserve">Offering free pilot programs to all HISD elementary schools during Summer 2023, resulting in a 94% district-wide adoption rate by August.</w:t>
      </w:r>
    </w:p>
    <w:p>
      <w:pPr>
        <w:numPr>
          <w:ilvl w:val="0"/>
          <w:numId w:val="1002"/>
        </w:numPr>
        <w:pStyle w:val="Compact"/>
      </w:pPr>
      <w:r>
        <w:rPr>
          <w:bCs/>
          <w:b/>
        </w:rPr>
        <w:t xml:space="preserve">Corporate Alliances:</w:t>
      </w:r>
      <w:r>
        <w:t xml:space="preserve"> </w:t>
      </w:r>
      <w:r>
        <w:t xml:space="preserve">Collaborating with the Houston Chamber of Commerce to embed Professor into their "Workforce Ready" certification program for 7,500+ local business employees.</w:t>
      </w:r>
    </w:p>
    <w:p>
      <w:pPr>
        <w:pStyle w:val="FirstParagraph"/>
      </w:pPr>
      <w:r>
        <w:t xml:space="preserve">This approach generated a 3.2x higher customer acquisition rate versus our national average in Houston alone, proving that location-specific strategies yield superior returns. The city's active education advocacy groups (including the Houston Education Research Consortium) have also provided invaluable feedback for product iterations.</w:t>
      </w:r>
    </w:p>
    <w:bookmarkEnd w:id="23"/>
    <w:bookmarkStart w:id="24" w:name="challenges-and-strategic-responses"/>
    <w:p>
      <w:pPr>
        <w:pStyle w:val="Heading2"/>
      </w:pPr>
      <w:r>
        <w:t xml:space="preserve">Challenges and Strategic Responses</w:t>
      </w:r>
    </w:p>
    <w:p>
      <w:pPr>
        <w:pStyle w:val="FirstParagraph"/>
      </w:pPr>
      <w:r>
        <w:t xml:space="preserve">While performance has been strong, two key challenges emerged in the United States Houston market:</w:t>
      </w:r>
    </w:p>
    <w:p>
      <w:pPr>
        <w:numPr>
          <w:ilvl w:val="0"/>
          <w:numId w:val="1003"/>
        </w:numPr>
        <w:pStyle w:val="Compact"/>
      </w:pPr>
      <w:r>
        <w:rPr>
          <w:bCs/>
          <w:b/>
        </w:rPr>
        <w:t xml:space="preserve">Infrastructure Gaps:</w:t>
      </w:r>
      <w:r>
        <w:t xml:space="preserve"> </w:t>
      </w:r>
      <w:r>
        <w:t xml:space="preserve">Initial adoption was hampered by inconsistent school district internet access in East Houston. Our solution: Deploying offline-capable Professor modules via USB drives to 18 schools, resulting in a 76% increase in usage among affected districts.</w:t>
      </w:r>
    </w:p>
    <w:p>
      <w:pPr>
        <w:numPr>
          <w:ilvl w:val="0"/>
          <w:numId w:val="1003"/>
        </w:numPr>
        <w:pStyle w:val="Compact"/>
      </w:pPr>
      <w:r>
        <w:rPr>
          <w:bCs/>
          <w:b/>
        </w:rPr>
        <w:t xml:space="preserve">Cultural Misalignment:</w:t>
      </w:r>
      <w:r>
        <w:t xml:space="preserve"> </w:t>
      </w:r>
      <w:r>
        <w:t xml:space="preserve">Early content featured generic U.S. scenarios not reflecting Houston's cultural context (e.g., missing local landmarks like Minute Maid Park). Corrected by adding Houston-specific lessons about the Port of Houston, NASA missions, and local business case studies—boosting engagement by 41%.</w:t>
      </w:r>
    </w:p>
    <w:bookmarkEnd w:id="24"/>
    <w:bookmarkStart w:id="25" w:name="future-growth-recommendations"/>
    <w:p>
      <w:pPr>
        <w:pStyle w:val="Heading2"/>
      </w:pPr>
      <w:r>
        <w:t xml:space="preserve">Future Growth Recommendations</w:t>
      </w:r>
    </w:p>
    <w:p>
      <w:pPr>
        <w:pStyle w:val="FirstParagraph"/>
      </w:pPr>
      <w:r>
        <w:t xml:space="preserve">To sustain momentum in United States Houston, we recommend three targeted initiatives:</w:t>
      </w:r>
    </w:p>
    <w:p>
      <w:pPr>
        <w:numPr>
          <w:ilvl w:val="0"/>
          <w:numId w:val="1004"/>
        </w:numPr>
        <w:pStyle w:val="Compact"/>
      </w:pPr>
      <w:r>
        <w:rPr>
          <w:bCs/>
          <w:b/>
        </w:rPr>
        <w:t xml:space="preserve">Expand Corporate Partnerships:</w:t>
      </w:r>
      <w:r>
        <w:t xml:space="preserve"> </w:t>
      </w:r>
      <w:r>
        <w:t xml:space="preserve">Target the $5.3B healthcare sector (Memorial Hermann, CHI St. Luke's) with customized "Professor HealthTech" modules to train 10,000+ new medical staff by Q2 2024.</w:t>
      </w:r>
    </w:p>
    <w:p>
      <w:pPr>
        <w:numPr>
          <w:ilvl w:val="0"/>
          <w:numId w:val="1004"/>
        </w:numPr>
        <w:pStyle w:val="Compact"/>
      </w:pPr>
      <w:r>
        <w:rPr>
          <w:bCs/>
          <w:b/>
        </w:rPr>
        <w:t xml:space="preserve">School District Deepening:</w:t>
      </w:r>
      <w:r>
        <w:t xml:space="preserve"> </w:t>
      </w:r>
      <w:r>
        <w:t xml:space="preserve">Propose a citywide HISD integration plan for Professor as the standard digital curriculum platform across all secondary schools, projected to generate $5.8M in annual revenue.</w:t>
      </w:r>
    </w:p>
    <w:p>
      <w:pPr>
        <w:numPr>
          <w:ilvl w:val="0"/>
          <w:numId w:val="1004"/>
        </w:numPr>
        <w:pStyle w:val="Compact"/>
      </w:pPr>
      <w:r>
        <w:rPr>
          <w:bCs/>
          <w:b/>
        </w:rPr>
        <w:t xml:space="preserve">Community Ambassador Program:</w:t>
      </w:r>
      <w:r>
        <w:t xml:space="preserve"> </w:t>
      </w:r>
      <w:r>
        <w:t xml:space="preserve">Recruit 200 Houston educators and parents as "Professor Ambassadors" through local nonprofits like United Way of Greater Houston, leveraging trusted community networks for organic growth.</w:t>
      </w:r>
    </w:p>
    <w:bookmarkEnd w:id="25"/>
    <w:bookmarkStart w:id="26" w:name="conclusion-the-houston-advantage"/>
    <w:p>
      <w:pPr>
        <w:pStyle w:val="Heading2"/>
      </w:pPr>
      <w:r>
        <w:t xml:space="preserve">Conclusion: The Houston Advantage</w:t>
      </w:r>
    </w:p>
    <w:p>
      <w:pPr>
        <w:pStyle w:val="FirstParagraph"/>
      </w:pPr>
      <w:r>
        <w:t xml:space="preserve">This Sales Report unequivocally demonstrates that Professor's performance in United States Houston transcends typical market results. We've transformed the city from a promising region into our flagship operational center, proving that hyper-local adaptation delivers exceptional returns. With Houston's education budget growing at 8.3% annually (fueled by recent state legislation) and the city positioning itself as a national education innovation hub, Professor is perfectly positioned to capture 45% of Texas' K-12 edtech market by 2025.</w:t>
      </w:r>
    </w:p>
    <w:p>
      <w:pPr>
        <w:pStyle w:val="BodyText"/>
      </w:pPr>
      <w:r>
        <w:t xml:space="preserve">The data confirms: When an educational platform like Professor aligns with Houston's unique demographic, economic, and cultural fabric—not just targeting "a city" but understanding the United States Houston ecosystem—it achieves extraordinary results. We will maintain our dedicated Houston operations center (now at 18 team members) as the blueprint for all U.S. regional expansion. The Professor Sales Report for United States Houston isn't just a quarterly update; it's a strategic roadmap showing how location intelligence drives market dominance.</w:t>
      </w:r>
    </w:p>
    <w:p>
      <w:pPr>
        <w:pStyle w:val="BodyText"/>
      </w:pPr>
      <w:r>
        <w:rPr>
          <w:bCs/>
          <w:b/>
        </w:rPr>
        <w:t xml:space="preserve">Prepared by:</w:t>
      </w:r>
      <w:r>
        <w:t xml:space="preserve"> </w:t>
      </w:r>
      <w:r>
        <w:t xml:space="preserve">Global Education Analytics Division</w:t>
      </w:r>
      <w:r>
        <w:br/>
      </w:r>
      <w:r>
        <w:rPr>
          <w:bCs/>
          <w:b/>
        </w:rPr>
        <w:t xml:space="preserve">Date:</w:t>
      </w:r>
      <w:r>
        <w:t xml:space="preserve"> </w:t>
      </w:r>
      <w:r>
        <w:t xml:space="preserve">October 26, 2023</w:t>
      </w:r>
      <w:r>
        <w:br/>
      </w:r>
      <w:r>
        <w:rPr>
          <w:bCs/>
          <w:b/>
        </w:rPr>
        <w:t xml:space="preserve">Confidentiality Notice:</w:t>
      </w:r>
      <w:r>
        <w:t xml:space="preserve"> </w:t>
      </w:r>
      <w:r>
        <w:t xml:space="preserve">This Sales Report is proprietary to Professor Educational Technologies and intended solely for U.S. Houston market stakeholders.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United States Houston Market Analysis</dc:title>
  <dc:creator/>
  <dc:language>en</dc:language>
  <cp:keywords/>
  <dcterms:created xsi:type="dcterms:W3CDTF">2025-12-11T16:19:43Z</dcterms:created>
  <dcterms:modified xsi:type="dcterms:W3CDTF">2025-12-11T16:19:43Z</dcterms:modified>
</cp:coreProperties>
</file>

<file path=docProps/custom.xml><?xml version="1.0" encoding="utf-8"?>
<Properties xmlns="http://schemas.openxmlformats.org/officeDocument/2006/custom-properties" xmlns:vt="http://schemas.openxmlformats.org/officeDocument/2006/docPropsVTypes"/>
</file>