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30" w:name="X5609fcca1092e03fe899e711939f7cc61b2276d"/>
    <w:p>
      <w:pPr>
        <w:pStyle w:val="Heading1"/>
      </w:pPr>
      <w:r>
        <w:t xml:space="preserve">Sales Report: Professor Platform Performance in United States Miami (Q3 2023)</w:t>
      </w:r>
    </w:p>
    <w:bookmarkStart w:id="20" w:name="executive-summary"/>
    <w:p>
      <w:pPr>
        <w:pStyle w:val="Heading2"/>
      </w:pPr>
      <w:r>
        <w:t xml:space="preserve">Executive Summary</w:t>
      </w:r>
    </w:p>
    <w:p>
      <w:pPr>
        <w:pStyle w:val="FirstParagraph"/>
      </w:pPr>
      <w:r>
        <w:t xml:space="preserve">This comprehensive Sales Report details the performance of our flagship educational technology platform, "Professor," across the dynamic United States Miami market during Q3 2023. As a leading provider of AI-driven learning solutions, Professor has demonstrated exceptional growth trajectory in South Florida's education ecosystem. The Miami region contributed 18.7% to our national revenue this quarter, reflecting strategic market penetration and alignment with local educational priorities. This report validates our tailored approach to the United States Miami landscape where cultural diversity, bilingual needs, and tourism-driven educational demand create unique opportunities for Professor's adaptive learning technology.</w:t>
      </w:r>
    </w:p>
    <w:bookmarkEnd w:id="20"/>
    <w:bookmarkStart w:id="21" w:name="Xd3092236f36900d633c766d78a33b507b542b81"/>
    <w:p>
      <w:pPr>
        <w:pStyle w:val="Heading2"/>
      </w:pPr>
      <w:r>
        <w:t xml:space="preserve">Market Context: United States Miami Educational Landscape</w:t>
      </w:r>
    </w:p>
    <w:p>
      <w:pPr>
        <w:pStyle w:val="FirstParagraph"/>
      </w:pPr>
      <w:r>
        <w:t xml:space="preserve">Miami stands as a critical hub for innovation in the United States education sector. With over 350 schools and 12 major universities within the metro area—including University of Miami, Florida International University, and Miami Dade College—our target market represents a $2.8 billion annual educational technology expenditure opportunity. The city's unique demographics (47% Hispanic population, 19% international students) necessitate culturally responsive learning tools that Professor delivers through its multilingual interface and regionally relevant curriculum modules.</w:t>
      </w:r>
    </w:p>
    <w:bookmarkEnd w:id="21"/>
    <w:bookmarkStart w:id="24" w:name="professor-platform-performance-metrics"/>
    <w:p>
      <w:pPr>
        <w:pStyle w:val="Heading2"/>
      </w:pPr>
      <w:r>
        <w:t xml:space="preserve">Professor Platform Performance Metrics</w:t>
      </w:r>
    </w:p>
    <w:bookmarkStart w:id="22" w:name="sales-growth-in-united-states-miami"/>
    <w:p>
      <w:pPr>
        <w:pStyle w:val="Heading3"/>
      </w:pPr>
      <w:r>
        <w:t xml:space="preserve">Sales Growth in United States Miami</w:t>
      </w:r>
    </w:p>
    <w:p>
      <w:pPr>
        <w:pStyle w:val="FirstParagraph"/>
      </w:pPr>
      <w:r>
        <w:t xml:space="preserve">Professor achieved remarkable milestones this quarter:</w:t>
      </w:r>
    </w:p>
    <w:p>
      <w:pPr>
        <w:numPr>
          <w:ilvl w:val="0"/>
          <w:numId w:val="1001"/>
        </w:numPr>
        <w:pStyle w:val="Compact"/>
      </w:pPr>
      <w:r>
        <w:rPr>
          <w:bCs/>
          <w:b/>
        </w:rPr>
        <w:t xml:space="preserve">Revenue Growth:</w:t>
      </w:r>
      <w:r>
        <w:t xml:space="preserve"> </w:t>
      </w:r>
      <w:r>
        <w:t xml:space="preserve">42% increase from $1.8M (Q2) to $2.6M in the Miami market</w:t>
      </w:r>
    </w:p>
    <w:p>
      <w:pPr>
        <w:numPr>
          <w:ilvl w:val="0"/>
          <w:numId w:val="1001"/>
        </w:numPr>
        <w:pStyle w:val="Compact"/>
      </w:pPr>
      <w:r>
        <w:rPr>
          <w:bCs/>
          <w:b/>
        </w:rPr>
        <w:t xml:space="preserve">New Institutional Clients:</w:t>
      </w:r>
      <w:r>
        <w:t xml:space="preserve"> </w:t>
      </w:r>
      <w:r>
        <w:t xml:space="preserve">17 new school districts and universities, including Miami Beach Public Schools and Latin American University of Science and Technology</w:t>
      </w:r>
    </w:p>
    <w:p>
      <w:pPr>
        <w:numPr>
          <w:ilvl w:val="0"/>
          <w:numId w:val="1001"/>
        </w:numPr>
        <w:pStyle w:val="Compact"/>
      </w:pPr>
      <w:r>
        <w:rPr>
          <w:bCs/>
          <w:b/>
        </w:rPr>
        <w:t xml:space="preserve">Subscription Uptake:</w:t>
      </w:r>
      <w:r>
        <w:t xml:space="preserve"> </w:t>
      </w:r>
      <w:r>
        <w:t xml:space="preserve">38% expansion in K-12 adoption across Miami-Dade County public schools</w:t>
      </w:r>
    </w:p>
    <w:p>
      <w:pPr>
        <w:numPr>
          <w:ilvl w:val="0"/>
          <w:numId w:val="1001"/>
        </w:numPr>
        <w:pStyle w:val="Compact"/>
      </w:pPr>
      <w:r>
        <w:rPr>
          <w:bCs/>
          <w:b/>
        </w:rPr>
        <w:t xml:space="preserve">Enterprise Contracts:</w:t>
      </w:r>
      <w:r>
        <w:t xml:space="preserve"> </w:t>
      </w:r>
      <w:r>
        <w:t xml:space="preserve">Secured multi-year agreements with three major hospitality training centers (Mandarin Oriental, W Hotel, and Hyatt Regency) for staff development</w:t>
      </w:r>
    </w:p>
    <w:bookmarkEnd w:id="22"/>
    <w:bookmarkStart w:id="23" w:name="demand-drivers-specific-to-miami"/>
    <w:p>
      <w:pPr>
        <w:pStyle w:val="Heading3"/>
      </w:pPr>
      <w:r>
        <w:t xml:space="preserve">Demand Drivers Specific to Miami</w:t>
      </w:r>
    </w:p>
    <w:p>
      <w:pPr>
        <w:pStyle w:val="FirstParagraph"/>
      </w:pPr>
      <w:r>
        <w:t xml:space="preserve">The Professor platform's success in United States Miami stems from addressing region-specific needs:</w:t>
      </w:r>
    </w:p>
    <w:p>
      <w:pPr>
        <w:numPr>
          <w:ilvl w:val="0"/>
          <w:numId w:val="1002"/>
        </w:numPr>
        <w:pStyle w:val="Compact"/>
      </w:pPr>
      <w:r>
        <w:rPr>
          <w:iCs/>
          <w:i/>
        </w:rPr>
        <w:t xml:space="preserve">Language Integration:</w:t>
      </w:r>
      <w:r>
        <w:t xml:space="preserve"> </w:t>
      </w:r>
      <w:r>
        <w:t xml:space="preserve">Professor's Spanish/English dual-language modules reduced dropout rates by 28% at bilingual charter schools</w:t>
      </w:r>
    </w:p>
    <w:p>
      <w:pPr>
        <w:numPr>
          <w:ilvl w:val="0"/>
          <w:numId w:val="1002"/>
        </w:numPr>
        <w:pStyle w:val="Compact"/>
      </w:pPr>
      <w:r>
        <w:rPr>
          <w:iCs/>
          <w:i/>
        </w:rPr>
        <w:t xml:space="preserve">Tourism Industry Alignment:</w:t>
      </w:r>
      <w:r>
        <w:t xml:space="preserve"> </w:t>
      </w:r>
      <w:r>
        <w:t xml:space="preserve">Customized hospitality training tracks for Miami's $19 billion tourism sector</w:t>
      </w:r>
    </w:p>
    <w:p>
      <w:pPr>
        <w:numPr>
          <w:ilvl w:val="0"/>
          <w:numId w:val="1002"/>
        </w:numPr>
        <w:pStyle w:val="Compact"/>
      </w:pPr>
      <w:r>
        <w:rPr>
          <w:iCs/>
          <w:i/>
        </w:rPr>
        <w:t xml:space="preserve">Cultural Relevance:</w:t>
      </w:r>
      <w:r>
        <w:t xml:space="preserve"> </w:t>
      </w:r>
      <w:r>
        <w:t xml:space="preserve">Content incorporating Latin American history and Caribbean economics in social studies modules</w:t>
      </w:r>
    </w:p>
    <w:bookmarkEnd w:id="23"/>
    <w:bookmarkEnd w:id="24"/>
    <w:bookmarkStart w:id="25" w:name="Xb17120d5c974bfe5f25ff4a83c2cdedbcea5194"/>
    <w:p>
      <w:pPr>
        <w:pStyle w:val="Heading2"/>
      </w:pPr>
      <w:r>
        <w:t xml:space="preserve">Competitive Analysis in United States Miami</w:t>
      </w:r>
    </w:p>
    <w:p>
      <w:pPr>
        <w:pStyle w:val="FirstParagraph"/>
      </w:pPr>
      <w:r>
        <w:t xml:space="preserve">Miami's education technology market features intense competition from national players like Canvas and Google Classroom. However, Professor differentiates through:</w:t>
      </w:r>
    </w:p>
    <w:p>
      <w:pPr>
        <w:numPr>
          <w:ilvl w:val="0"/>
          <w:numId w:val="1003"/>
        </w:numPr>
        <w:pStyle w:val="Compact"/>
      </w:pPr>
      <w:r>
        <w:rPr>
          <w:bCs/>
          <w:b/>
        </w:rPr>
        <w:t xml:space="preserve">Cultural Intelligence:</w:t>
      </w:r>
      <w:r>
        <w:t xml:space="preserve"> </w:t>
      </w:r>
      <w:r>
        <w:t xml:space="preserve">Our local Miami-based curriculum team developed content aligned with Florida state standards and South Florida cultural context</w:t>
      </w:r>
    </w:p>
    <w:p>
      <w:pPr>
        <w:numPr>
          <w:ilvl w:val="0"/>
          <w:numId w:val="1003"/>
        </w:numPr>
        <w:pStyle w:val="Compact"/>
      </w:pPr>
      <w:r>
        <w:rPr>
          <w:bCs/>
          <w:b/>
        </w:rPr>
        <w:t xml:space="preserve">Language Accessibility:</w:t>
      </w:r>
      <w:r>
        <w:t xml:space="preserve"> </w:t>
      </w:r>
      <w:r>
        <w:t xml:space="preserve">100% of Professor modules available in Spanish with real-time translation, addressing a critical gap in the Miami market</w:t>
      </w:r>
    </w:p>
    <w:p>
      <w:pPr>
        <w:numPr>
          <w:ilvl w:val="0"/>
          <w:numId w:val="1003"/>
        </w:numPr>
        <w:pStyle w:val="Compact"/>
      </w:pPr>
      <w:r>
        <w:t xml:space="preserve">Community Partnerships: Strategic alliances with Miami-Dade County Public Schools and the Greater Miami Chamber of Commerce</w:t>
      </w:r>
    </w:p>
    <w:bookmarkEnd w:id="25"/>
    <w:bookmarkStart w:id="26" w:name="key-challenges-addressed"/>
    <w:p>
      <w:pPr>
        <w:pStyle w:val="Heading2"/>
      </w:pPr>
      <w:r>
        <w:t xml:space="preserve">Key Challenges Addressed</w:t>
      </w:r>
    </w:p>
    <w:p>
      <w:pPr>
        <w:pStyle w:val="FirstParagraph"/>
      </w:pPr>
      <w:r>
        <w:t xml:space="preserve">This Sales Report identifies challenges overcome in United States Miami:</w:t>
      </w:r>
    </w:p>
    <w:p>
      <w:pPr>
        <w:numPr>
          <w:ilvl w:val="0"/>
          <w:numId w:val="1004"/>
        </w:numPr>
        <w:pStyle w:val="Compact"/>
      </w:pPr>
      <w:r>
        <w:rPr>
          <w:iCs/>
          <w:i/>
        </w:rPr>
        <w:t xml:space="preserve">Budget Constraints:</w:t>
      </w:r>
      <w:r>
        <w:t xml:space="preserve"> </w:t>
      </w:r>
      <w:r>
        <w:t xml:space="preserve">Implemented tiered pricing model for schools (free basic access, premium analytics at $15/student/yr) to increase adoption</w:t>
      </w:r>
    </w:p>
    <w:p>
      <w:pPr>
        <w:numPr>
          <w:ilvl w:val="0"/>
          <w:numId w:val="1004"/>
        </w:numPr>
        <w:pStyle w:val="Compact"/>
      </w:pPr>
      <w:r>
        <w:rPr>
          <w:iCs/>
          <w:i/>
        </w:rPr>
        <w:t xml:space="preserve">Technical Barriers:</w:t>
      </w:r>
      <w:r>
        <w:t xml:space="preserve"> </w:t>
      </w:r>
      <w:r>
        <w:t xml:space="preserve">Deployed mobile-first solution compatible with low-bandwidth areas across Miami's urban zones</w:t>
      </w:r>
    </w:p>
    <w:p>
      <w:pPr>
        <w:numPr>
          <w:ilvl w:val="0"/>
          <w:numId w:val="1004"/>
        </w:numPr>
        <w:pStyle w:val="Compact"/>
      </w:pPr>
      <w:r>
        <w:rPr>
          <w:iCs/>
          <w:i/>
        </w:rPr>
        <w:t xml:space="preserve">Cultural Misalignment:</w:t>
      </w:r>
      <w:r>
        <w:t xml:space="preserve"> </w:t>
      </w:r>
      <w:r>
        <w:t xml:space="preserve">Revised all content to reflect Miami's multicultural identity (e.g., replacing Northeast U.S. examples with Coral Gables case studies)</w:t>
      </w:r>
    </w:p>
    <w:bookmarkEnd w:id="26"/>
    <w:bookmarkStart w:id="27" w:name="Xbf0040c5906b53d744063e934c0b9dcaea2e729"/>
    <w:p>
      <w:pPr>
        <w:pStyle w:val="Heading2"/>
      </w:pPr>
      <w:r>
        <w:t xml:space="preserve">Professor's Impact on Educational Outcomes</w:t>
      </w:r>
    </w:p>
    <w:p>
      <w:pPr>
        <w:pStyle w:val="FirstParagraph"/>
      </w:pPr>
      <w:r>
        <w:t xml:space="preserve">Quantifiable results in United States Miami demonstrate Professor's efficacy:</w:t>
      </w:r>
    </w:p>
    <w:p>
      <w:pPr>
        <w:pStyle w:val="BodyText"/>
      </w:pPr>
      <w:r>
        <w:t xml:space="preserve">Institution</w:t>
      </w:r>
    </w:p>
    <w:p>
      <w:pPr>
        <w:pStyle w:val="BodyText"/>
      </w:pPr>
      <w:r>
        <w:t xml:space="preserve">Metrics Before Professor</w:t>
      </w:r>
    </w:p>
    <w:p>
      <w:pPr>
        <w:pStyle w:val="BodyText"/>
      </w:pPr>
      <w:r>
        <w:t xml:space="preserve">After Implementation (Q3)</w:t>
      </w:r>
    </w:p>
    <w:p>
      <w:pPr>
        <w:pStyle w:val="BodyText"/>
      </w:pPr>
      <w:r>
        <w:t xml:space="preserve">Miami Senior High School</w:t>
      </w:r>
    </w:p>
    <w:p>
      <w:pPr>
        <w:pStyle w:val="BodyText"/>
      </w:pPr>
      <w:r>
        <w:t xml:space="preserve">62% math proficiency (FL state avg: 58%)</w:t>
      </w:r>
    </w:p>
    <w:p>
      <w:pPr>
        <w:pStyle w:val="BodyText"/>
      </w:pPr>
      <w:r>
        <w:t xml:space="preserve">76% math proficiency (+14%)</w:t>
      </w:r>
    </w:p>
    <w:p>
      <w:pPr>
        <w:pStyle w:val="BodyText"/>
      </w:pPr>
      <w:r>
        <w:t xml:space="preserve">Coral Gables Academy</w:t>
      </w:r>
    </w:p>
    <w:p>
      <w:pPr>
        <w:pStyle w:val="BodyText"/>
      </w:pPr>
      <w:r>
        <w:t xml:space="preserve">&lt;</w:t>
      </w:r>
    </w:p>
    <w:p>
      <w:pPr>
        <w:pStyle w:val="BodyText"/>
      </w:pPr>
      <w:r>
        <w:t xml:space="preserve">32% student engagement rate</w:t>
      </w:r>
    </w:p>
    <w:p>
      <w:pPr>
        <w:pStyle w:val="BodyText"/>
      </w:pPr>
      <w:r>
        <w:t xml:space="preserve">59% student engagement rate (+27%)</w:t>
      </w:r>
    </w:p>
    <w:p>
      <w:pPr>
        <w:pStyle w:val="BodyText"/>
      </w:pPr>
      <w:r>
        <w:t xml:space="preserve">Miami-Dade College (Online)</w:t>
      </w:r>
    </w:p>
    <w:p>
      <w:pPr>
        <w:pStyle w:val="BodyText"/>
      </w:pPr>
      <w:r>
        <w:t xml:space="preserve">41% course completion rate</w:t>
      </w:r>
    </w:p>
    <w:p>
      <w:pPr>
        <w:pStyle w:val="BodyText"/>
      </w:pPr>
      <w:r>
        <w:t xml:space="preserve">68% course completion rate (+27%)</w:t>
      </w:r>
    </w:p>
    <w:bookmarkEnd w:id="27"/>
    <w:bookmarkStart w:id="28" w:name="X47ef562056bdcf0e53cbfb28104d64009d17ab6"/>
    <w:p>
      <w:pPr>
        <w:pStyle w:val="Heading2"/>
      </w:pPr>
      <w:r>
        <w:t xml:space="preserve">Strategic Recommendations for United States Miami Market Expansion</w:t>
      </w:r>
    </w:p>
    <w:p>
      <w:pPr>
        <w:pStyle w:val="FirstParagraph"/>
      </w:pPr>
      <w:r>
        <w:t xml:space="preserve">This Sales Report concludes with targeted recommendations:</w:t>
      </w:r>
    </w:p>
    <w:p>
      <w:pPr>
        <w:numPr>
          <w:ilvl w:val="0"/>
          <w:numId w:val="1005"/>
        </w:numPr>
        <w:pStyle w:val="Compact"/>
      </w:pPr>
      <w:r>
        <w:rPr>
          <w:bCs/>
          <w:b/>
        </w:rPr>
        <w:t xml:space="preserve">Deepen Hospitality Partnerships:</w:t>
      </w:r>
      <w:r>
        <w:t xml:space="preserve"> </w:t>
      </w:r>
      <w:r>
        <w:t xml:space="preserve">Develop specialized certification tracks for Miami's tourism industry with hotel chains</w:t>
      </w:r>
    </w:p>
    <w:p>
      <w:pPr>
        <w:numPr>
          <w:ilvl w:val="0"/>
          <w:numId w:val="1005"/>
        </w:numPr>
        <w:pStyle w:val="Compact"/>
      </w:pPr>
      <w:r>
        <w:rPr>
          <w:bCs/>
          <w:b/>
        </w:rPr>
        <w:t xml:space="preserve">Leverage Cultural Events:</w:t>
      </w:r>
      <w:r>
        <w:t xml:space="preserve"> </w:t>
      </w:r>
      <w:r>
        <w:t xml:space="preserve">Sponsor Miami Book Fair and Art Basel to showcase Professor's multilingual capabilities</w:t>
      </w:r>
    </w:p>
    <w:p>
      <w:pPr>
        <w:numPr>
          <w:ilvl w:val="0"/>
          <w:numId w:val="1005"/>
        </w:numPr>
        <w:pStyle w:val="Compact"/>
      </w:pPr>
      <w:r>
        <w:rPr>
          <w:bCs/>
          <w:b/>
        </w:rPr>
        <w:t xml:space="preserve">Government Collaboration:</w:t>
      </w:r>
      <w:r>
        <w:t xml:space="preserve"> </w:t>
      </w:r>
      <w:r>
        <w:t xml:space="preserve">Advocate for state-level adoption of Professor in Florida's new digital learning initiative</w:t>
      </w:r>
    </w:p>
    <w:p>
      <w:pPr>
        <w:numPr>
          <w:ilvl w:val="0"/>
          <w:numId w:val="1005"/>
        </w:numPr>
        <w:pStyle w:val="Compact"/>
      </w:pPr>
      <w:r>
        <w:rPr>
          <w:bCs/>
          <w:b/>
        </w:rPr>
        <w:t xml:space="preserve">Miami Community Centers:</w:t>
      </w:r>
      <w:r>
        <w:t xml:space="preserve"> </w:t>
      </w:r>
      <w:r>
        <w:t xml:space="preserve">Deploy free access stations at public libraries across Miami-Dade County to drive grassroots adoption</w:t>
      </w:r>
    </w:p>
    <w:bookmarkEnd w:id="28"/>
    <w:bookmarkStart w:id="29" w:name="X0f1c0139b6734ac02e822ef5dbb90a97160335d"/>
    <w:p>
      <w:pPr>
        <w:pStyle w:val="Heading2"/>
      </w:pPr>
      <w:r>
        <w:t xml:space="preserve">Conclusion: The Professor Advantage in United States Miami</w:t>
      </w:r>
    </w:p>
    <w:p>
      <w:pPr>
        <w:pStyle w:val="FirstParagraph"/>
      </w:pPr>
      <w:r>
        <w:t xml:space="preserve">The data presented in this Sales Report unequivocally demonstrates that the Professor platform has become an indispensable asset for educational advancement throughout the United States Miami landscape. By intentionally designing our solution to meet Miami's unique cultural, linguistic, and economic demands—rather than applying a generic national strategy—we've achieved sustainable growth where competitors struggle. The 42% revenue surge this quarter proves that when technology aligns with local context, it transforms from a mere product into an educational catalyst.</w:t>
      </w:r>
    </w:p>
    <w:p>
      <w:pPr>
        <w:pStyle w:val="BodyText"/>
      </w:pPr>
      <w:r>
        <w:t xml:space="preserve">As we move into Q4, Professor will double down on Miami's strengths: its global connectivity, cultural vibrancy, and educational ambition. This Sales Report confirms that the Professor platform isn't just serving the United States Miami market—it's becoming integral to how education evolves in one of America's most dynamic cities. The future of learning in South Florida is multilingual, culturally intelligent, and powered by Professor.</w:t>
      </w:r>
    </w:p>
    <w:p>
      <w:pPr>
        <w:pStyle w:val="BodyText"/>
      </w:pPr>
      <w:r>
        <w:rPr>
          <w:bCs/>
          <w:b/>
        </w:rPr>
        <w:t xml:space="preserve">Prepared By:</w:t>
      </w:r>
      <w:r>
        <w:t xml:space="preserve"> </w:t>
      </w:r>
      <w:r>
        <w:t xml:space="preserve">Strategic Growth Division</w:t>
      </w:r>
      <w:r>
        <w:br/>
      </w:r>
      <w:r>
        <w:rPr>
          <w:bCs/>
          <w:b/>
        </w:rPr>
        <w:t xml:space="preserve">Date:</w:t>
      </w:r>
      <w:r>
        <w:t xml:space="preserve"> </w:t>
      </w:r>
      <w:r>
        <w:t xml:space="preserve">October 26, 2023</w:t>
      </w:r>
      <w:r>
        <w:br/>
      </w:r>
      <w:r>
        <w:rPr>
          <w:bCs/>
          <w:b/>
        </w:rPr>
        <w:t xml:space="preserve">Confidential: United States Miami Sales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United States Miami Market Analysis</dc:title>
  <dc:creator/>
  <dc:language>en</dc:language>
  <cp:keywords/>
  <dcterms:created xsi:type="dcterms:W3CDTF">2026-07-23T16:46:12Z</dcterms:created>
  <dcterms:modified xsi:type="dcterms:W3CDTF">2026-07-23T16:46:12Z</dcterms:modified>
</cp:coreProperties>
</file>

<file path=docProps/custom.xml><?xml version="1.0" encoding="utf-8"?>
<Properties xmlns="http://schemas.openxmlformats.org/officeDocument/2006/custom-properties" xmlns:vt="http://schemas.openxmlformats.org/officeDocument/2006/docPropsVTypes"/>
</file>