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Professor</w:t>
      </w:r>
      <w:r>
        <w:t xml:space="preserve"> </w:t>
      </w:r>
      <w:r>
        <w:t xml:space="preserve">Platform</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2afa0de39772c258c191de407caf88aae5e891f"/>
    <w:p>
      <w:pPr>
        <w:pStyle w:val="Heading1"/>
      </w:pPr>
      <w:r>
        <w:t xml:space="preserve">Q3 2023 Sales Report: Professor Platform Market Performance Analysis -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NYC Sales Strategy Division, Professor Platform Inc.</w:t>
      </w:r>
    </w:p>
    <w:bookmarkStart w:id="20" w:name="i.-executive-summary"/>
    <w:p>
      <w:pPr>
        <w:pStyle w:val="Heading2"/>
      </w:pPr>
      <w:r>
        <w:t xml:space="preserve">I. Executive Summary</w:t>
      </w:r>
    </w:p>
    <w:p>
      <w:pPr>
        <w:pStyle w:val="FirstParagraph"/>
      </w:pPr>
      <w:r>
        <w:t xml:space="preserve">This comprehensive Sales Report details the Q3 2023 performance of the Professor Platform across the United States New York City market. As a premier educational technology solution designed for corporate training and academic integration, Professor has achieved unprecedented traction in NYC's competitive landscape. The quarter marked a 34% year-over-year revenue increase within our core New York City territory, exceeding all regional targets by 18%. This success is directly attributable to our hyper-localized sales strategy tailored specifically to the unique demands of United States New York City businesses and institutions. The Professor Platform's adaptive learning modules have proven exceptionally valuable in addressing post-pandemic workforce development challenges prevalent across NYC's finance, healthcare, and education sectors.</w:t>
      </w:r>
    </w:p>
    <w:bookmarkEnd w:id="20"/>
    <w:bookmarkStart w:id="21" w:name="Xbe4f12cec736805d528c475924e0fae2e7ad645"/>
    <w:p>
      <w:pPr>
        <w:pStyle w:val="Heading2"/>
      </w:pPr>
      <w:r>
        <w:t xml:space="preserve">II. Q3 2023 Sales Performance: United States New York City Market</w:t>
      </w:r>
    </w:p>
    <w:p>
      <w:pPr>
        <w:pStyle w:val="FirstParagraph"/>
      </w:pPr>
      <w:r>
        <w:t xml:space="preserve">In the highly competitive United States New York City market, Professor achieved significant milestones during Q3 2023:</w:t>
      </w:r>
    </w:p>
    <w:p>
      <w:pPr>
        <w:numPr>
          <w:ilvl w:val="0"/>
          <w:numId w:val="1001"/>
        </w:numPr>
        <w:pStyle w:val="Compact"/>
      </w:pPr>
      <w:r>
        <w:rPr>
          <w:bCs/>
          <w:b/>
        </w:rPr>
        <w:t xml:space="preserve">Revenue Growth:</w:t>
      </w:r>
      <w:r>
        <w:t xml:space="preserve"> </w:t>
      </w:r>
      <w:r>
        <w:t xml:space="preserve">$1.87M in NYC sales (up 34% YoY), representing 41% of total North American revenue</w:t>
      </w:r>
    </w:p>
    <w:p>
      <w:pPr>
        <w:numPr>
          <w:ilvl w:val="0"/>
          <w:numId w:val="1001"/>
        </w:numPr>
        <w:pStyle w:val="Compact"/>
      </w:pPr>
      <w:r>
        <w:rPr>
          <w:bCs/>
          <w:b/>
        </w:rPr>
        <w:t xml:space="preserve">New Enterprise Clients:</w:t>
      </w:r>
      <w:r>
        <w:t xml:space="preserve"> </w:t>
      </w:r>
      <w:r>
        <w:t xml:space="preserve">29 new enterprise contracts secured (including 5 Fortune 500 firms headquartered in Manhattan)</w:t>
      </w:r>
    </w:p>
    <w:p>
      <w:pPr>
        <w:numPr>
          <w:ilvl w:val="0"/>
          <w:numId w:val="1001"/>
        </w:numPr>
        <w:pStyle w:val="Compact"/>
      </w:pPr>
      <w:r>
        <w:rPr>
          <w:bCs/>
          <w:b/>
        </w:rPr>
        <w:t xml:space="preserve">Client Retention Rate:</w:t>
      </w:r>
      <w:r>
        <w:t xml:space="preserve"> </w:t>
      </w:r>
      <w:r>
        <w:t xml:space="preserve">92% across all NYC accounts (above industry benchmark of 84%)</w:t>
      </w:r>
    </w:p>
    <w:p>
      <w:pPr>
        <w:numPr>
          <w:ilvl w:val="0"/>
          <w:numId w:val="1001"/>
        </w:numPr>
        <w:pStyle w:val="Compact"/>
      </w:pPr>
      <w:r>
        <w:rPr>
          <w:bCs/>
          <w:b/>
        </w:rPr>
        <w:t xml:space="preserve">Sales Cycle Efficiency:</w:t>
      </w:r>
      <w:r>
        <w:t xml:space="preserve"> </w:t>
      </w:r>
      <w:r>
        <w:t xml:space="preserve">Average sales cycle reduced by 22 days compared to Q2, thanks to our NYC-specific onboarding protocols</w:t>
      </w:r>
    </w:p>
    <w:p>
      <w:pPr>
        <w:pStyle w:val="FirstParagraph"/>
      </w:pPr>
      <w:r>
        <w:t xml:space="preserve">The Professor Platform's success in New York City stems from its strategic alignment with the city's economic priorities. We've positioned ourselves as the essential partner for organizations navigating NYC's unique challenges: intense competition for talent, rapidly evolving industry standards, and strict regulatory requirements. Our sales team conducted 147 customized demonstrations focused specifically on NYC market pain points during Q3, resulting in a 68% conversion rate from demo to sale – significantly above our global average of 52%.</w:t>
      </w:r>
    </w:p>
    <w:bookmarkEnd w:id="21"/>
    <w:bookmarkStart w:id="22" w:name="Xf1f5d26683932255aa889152b181a6d310b4d15"/>
    <w:p>
      <w:pPr>
        <w:pStyle w:val="Heading2"/>
      </w:pPr>
      <w:r>
        <w:t xml:space="preserve">III. Geographic Performance Breakdown: United States New York City</w:t>
      </w:r>
    </w:p>
    <w:p>
      <w:pPr>
        <w:pStyle w:val="FirstParagraph"/>
      </w:pPr>
      <w:r>
        <w:t xml:space="preserve">We've implemented a granular borough-specific sales strategy that has driven exceptional results:</w:t>
      </w:r>
    </w:p>
    <w:p>
      <w:pPr>
        <w:pStyle w:val="BodyText"/>
      </w:pPr>
      <w:r>
        <w:t xml:space="preserve">Borough</w:t>
      </w:r>
    </w:p>
    <w:p>
      <w:pPr>
        <w:pStyle w:val="BodyText"/>
      </w:pPr>
      <w:r>
        <w:t xml:space="preserve">Revenue Generated</w:t>
      </w:r>
    </w:p>
    <w:p>
      <w:pPr>
        <w:pStyle w:val="BodyText"/>
      </w:pPr>
      <w:r>
        <w:t xml:space="preserve">Growth vs Q2</w:t>
      </w:r>
    </w:p>
    <w:p>
      <w:pPr>
        <w:pStyle w:val="BodyText"/>
      </w:pPr>
      <w:r>
        <w:t xml:space="preserve">Key Industry Focus</w:t>
      </w:r>
    </w:p>
    <w:p>
      <w:pPr>
        <w:pStyle w:val="BodyText"/>
      </w:pPr>
      <w:r>
        <w:t xml:space="preserve">Manhattan</w:t>
      </w:r>
    </w:p>
    <w:p>
      <w:pPr>
        <w:pStyle w:val="BodyText"/>
      </w:pPr>
      <w:r>
        <w:t xml:space="preserve">$1.12M (60% of NYC total)</w:t>
      </w:r>
    </w:p>
    <w:p>
      <w:pPr>
        <w:pStyle w:val="BodyText"/>
      </w:pPr>
      <w:r>
        <w:t xml:space="preserve">+41% YoY</w:t>
      </w:r>
    </w:p>
    <w:p>
      <w:pPr>
        <w:pStyle w:val="BodyText"/>
      </w:pPr>
      <w:r>
        <w:t xml:space="preserve">Finance, Legal, Corporate Training</w:t>
      </w:r>
    </w:p>
    <w:p>
      <w:pPr>
        <w:pStyle w:val="BodyText"/>
      </w:pPr>
      <w:r>
        <w:t xml:space="preserve">Bronx &amp; Queens</w:t>
      </w:r>
    </w:p>
    <w:p>
      <w:pPr>
        <w:pStyle w:val="BodyText"/>
      </w:pPr>
      <w:r>
        <w:t xml:space="preserve">+$450K (24% of NYC total)+39% YoY</w:t>
      </w:r>
    </w:p>
    <w:p>
      <w:pPr>
        <w:pStyle w:val="BodyText"/>
      </w:pPr>
      <w:r>
        <w:t xml:space="preserve">Brooklyn &amp; Staten Island</w:t>
      </w:r>
    </w:p>
    <w:p>
      <w:pPr>
        <w:pStyle w:val="BodyText"/>
      </w:pPr>
      <w:r>
        <w:t xml:space="preserve">+$285K (15% of NYC total)+28% YoY</w:t>
      </w:r>
    </w:p>
    <w:p>
      <w:pPr>
        <w:pStyle w:val="BodyText"/>
      </w:pPr>
      <w:r>
        <w:t xml:space="preserve">The Bronx &amp; Queens</w:t>
      </w:r>
    </w:p>
    <w:p>
      <w:pPr>
        <w:pStyle w:val="BodyText"/>
      </w:pPr>
      <w:r>
        <w:t xml:space="preserve">+$400K (21% of NYC total)+37% YoY</w:t>
      </w:r>
    </w:p>
    <w:p>
      <w:pPr>
        <w:pStyle w:val="BodyText"/>
      </w:pPr>
      <w:r>
        <w:t xml:space="preserve">In Manhattan, Professor secured critical contracts with major financial institutions on Wall Street, including a $450K multi-year agreement with a top-tier investment bank for their leadership development program. Brooklyn emerged as our fastest-growing borough market, driven by partnerships with innovative edtech startups in the Flatiron District and Williamsburg innovation hubs. The Bronx and Queens markets showed particularly strong growth among public school districts implementing our K-12 adaptive learning modules – a strategic initiative we launched specifically for NYC's diverse educational landscape.</w:t>
      </w:r>
    </w:p>
    <w:bookmarkEnd w:id="22"/>
    <w:bookmarkStart w:id="23" w:name="X4ffd16f8ffaa9475ad709eaf6ee12ead7e86169"/>
    <w:p>
      <w:pPr>
        <w:pStyle w:val="Heading2"/>
      </w:pPr>
      <w:r>
        <w:t xml:space="preserve">IV. Strategic Insights: Why Professor Resonates in United States New York City</w:t>
      </w:r>
    </w:p>
    <w:p>
      <w:pPr>
        <w:pStyle w:val="FirstParagraph"/>
      </w:pPr>
      <w:r>
        <w:t xml:space="preserve">The success of the Professor Platform in the United States New York City market is not accidental. Through deep market research conducted within NYC, we identified three critical differentiators:</w:t>
      </w:r>
    </w:p>
    <w:p>
      <w:pPr>
        <w:numPr>
          <w:ilvl w:val="0"/>
          <w:numId w:val="1002"/>
        </w:numPr>
        <w:pStyle w:val="Compact"/>
      </w:pPr>
      <w:r>
        <w:rPr>
          <w:bCs/>
          <w:b/>
        </w:rPr>
        <w:t xml:space="preserve">Regulatory Alignment:</w:t>
      </w:r>
      <w:r>
        <w:t xml:space="preserve"> </w:t>
      </w:r>
      <w:r>
        <w:t xml:space="preserve">Professor's compliance modules are pre-configured for NYC-specific regulations (including DOH and Education Department requirements), a feature highlighted during all NYC client presentations.</w:t>
      </w:r>
    </w:p>
    <w:p>
      <w:pPr>
        <w:numPr>
          <w:ilvl w:val="0"/>
          <w:numId w:val="1002"/>
        </w:numPr>
        <w:pStyle w:val="Compact"/>
      </w:pPr>
      <w:r>
        <w:rPr>
          <w:bCs/>
          <w:b/>
        </w:rPr>
        <w:t xml:space="preserve">Cultural Resonance:</w:t>
      </w:r>
      <w:r>
        <w:t xml:space="preserve"> </w:t>
      </w:r>
      <w:r>
        <w:t xml:space="preserve">Our sales team incorporated NYC-specific business etiquette, slang, and industry jargon into our value proposition – making Professor feel like a local solution rather than an outsourced platform.</w:t>
      </w:r>
    </w:p>
    <w:p>
      <w:pPr>
        <w:numPr>
          <w:ilvl w:val="0"/>
          <w:numId w:val="1002"/>
        </w:numPr>
        <w:pStyle w:val="Compact"/>
      </w:pPr>
      <w:r>
        <w:rPr>
          <w:bCs/>
          <w:b/>
        </w:rPr>
        <w:t xml:space="preserve">Post-Pandemic Workforce Focus:</w:t>
      </w:r>
      <w:r>
        <w:t xml:space="preserve"> </w:t>
      </w:r>
      <w:r>
        <w:t xml:space="preserve">76% of NYC enterprise clients cited "retraining hybrid workforces" as their primary pain point – a core focus of Professor's adaptive learning technology.</w:t>
      </w:r>
    </w:p>
    <w:p>
      <w:pPr>
        <w:pStyle w:val="FirstParagraph"/>
      </w:pPr>
      <w:r>
        <w:t xml:space="preserve">A key example was our partnership with New York University's Stern School of Business, which implemented Professor across all MBA programs. This high-profile case study directly demonstrated the platform's efficacy in NYC's academic ecosystem and became a powerful sales tool for securing other educational clients.</w:t>
      </w:r>
    </w:p>
    <w:bookmarkEnd w:id="23"/>
    <w:bookmarkStart w:id="24" w:name="Xc9b83cc02c475c5a2f0f72bf50e6362295ebafe"/>
    <w:p>
      <w:pPr>
        <w:pStyle w:val="Heading2"/>
      </w:pPr>
      <w:r>
        <w:t xml:space="preserve">V. Challenges &amp; Strategic Recommendations for Q4 2023</w:t>
      </w:r>
    </w:p>
    <w:p>
      <w:pPr>
        <w:pStyle w:val="FirstParagraph"/>
      </w:pPr>
      <w:r>
        <w:t xml:space="preserve">While Q3 was highly successful, two challenges emerged that require our strategic focus:</w:t>
      </w:r>
    </w:p>
    <w:p>
      <w:pPr>
        <w:numPr>
          <w:ilvl w:val="0"/>
          <w:numId w:val="1003"/>
        </w:numPr>
        <w:pStyle w:val="Compact"/>
      </w:pPr>
      <w:r>
        <w:rPr>
          <w:bCs/>
          <w:b/>
        </w:rPr>
        <w:t xml:space="preserve">High Competition:</w:t>
      </w:r>
      <w:r>
        <w:t xml:space="preserve"> </w:t>
      </w:r>
      <w:r>
        <w:t xml:space="preserve">Intensified competition from local NYC edtech firms necessitates deeper customization for our sales process.</w:t>
      </w:r>
    </w:p>
    <w:p>
      <w:pPr>
        <w:numPr>
          <w:ilvl w:val="0"/>
          <w:numId w:val="1003"/>
        </w:numPr>
        <w:pStyle w:val="Compact"/>
      </w:pPr>
      <w:r>
        <w:rPr>
          <w:bCs/>
          <w:b/>
        </w:rPr>
        <w:t xml:space="preserve">Talent Acquisition Costs:</w:t>
      </w:r>
      <w:r>
        <w:t xml:space="preserve"> </w:t>
      </w:r>
      <w:r>
        <w:t xml:space="preserve">High NYC salary benchmarks impact our sales team's cost structure, requiring more efficient resource allocation.</w:t>
      </w:r>
    </w:p>
    <w:p>
      <w:pPr>
        <w:pStyle w:val="FirstParagraph"/>
      </w:pPr>
      <w:r>
        <w:rPr>
          <w:bCs/>
          <w:b/>
        </w:rPr>
        <w:t xml:space="preserve">Recommendations for Q4:</w:t>
      </w:r>
    </w:p>
    <w:p>
      <w:pPr>
        <w:numPr>
          <w:ilvl w:val="0"/>
          <w:numId w:val="1004"/>
        </w:numPr>
        <w:pStyle w:val="Compact"/>
      </w:pPr>
      <w:r>
        <w:t xml:space="preserve">Launch "Professor NYC Advantage" program offering 20% discounts on multi-year contracts to address high-cost-of-entry concerns.</w:t>
      </w:r>
    </w:p>
    <w:p>
      <w:pPr>
        <w:numPr>
          <w:ilvl w:val="0"/>
          <w:numId w:val="1004"/>
        </w:numPr>
        <w:pStyle w:val="Compact"/>
      </w:pPr>
      <w:r>
        <w:t xml:space="preserve">Develop borough-specific marketing campaigns with local influencers (e.g., Brooklyn-based education advocates) to deepen community presence.</w:t>
      </w:r>
    </w:p>
    <w:p>
      <w:pPr>
        <w:numPr>
          <w:ilvl w:val="0"/>
          <w:numId w:val="1004"/>
        </w:numPr>
        <w:pStyle w:val="Compact"/>
      </w:pPr>
      <w:r>
        <w:t xml:space="preserve">Implement AI-driven lead scoring focused specifically on NYC business cycles and decision-making patterns.</w:t>
      </w:r>
    </w:p>
    <w:bookmarkEnd w:id="24"/>
    <w:bookmarkStart w:id="25" w:name="vi.-conclusion"/>
    <w:p>
      <w:pPr>
        <w:pStyle w:val="Heading2"/>
      </w:pPr>
      <w:r>
        <w:t xml:space="preserve">VI. Conclusion</w:t>
      </w:r>
    </w:p>
    <w:p>
      <w:pPr>
        <w:pStyle w:val="FirstParagraph"/>
      </w:pPr>
      <w:r>
        <w:t xml:space="preserve">The Q3 2023 Sales Report confirms that the Professor Platform has become an indispensable solution for professional development and educational technology across the United States New York City market. Our 34% YoY growth demonstrates not just strong performance, but a fundamental shift in how NYC businesses perceive and utilize learning technology. The Professor Platform has evolved from a promising tool to a strategic business imperative for organizations operating in one of the world's most dynamic urban environments.</w:t>
      </w:r>
    </w:p>
    <w:p>
      <w:pPr>
        <w:pStyle w:val="BodyText"/>
      </w:pPr>
      <w:r>
        <w:t xml:space="preserve">As we enter Q4, our focus remains unwavering: to deepen Professor's integration into New York City's economic fabric while maintaining our leadership position in this critical market. The success achieved during this quarter proves that when a sales strategy is meticulously tailored to the unique demands of United States New York City – as demonstrated through consistent implementation of the Professor Platform across diverse sectors – exceptional results become inevitable. We are poised to build on this momentum and further cement Professor's position as the definitive learning solution for New York City enterprises.</w:t>
      </w:r>
    </w:p>
    <w:p>
      <w:pPr>
        <w:pStyle w:val="BodyText"/>
      </w:pPr>
      <w:r>
        <w:rPr>
          <w:bCs/>
          <w:b/>
        </w:rPr>
        <w:t xml:space="preserve">Appendix: Key NYC Market Metrics</w:t>
      </w:r>
    </w:p>
    <w:p>
      <w:pPr>
        <w:numPr>
          <w:ilvl w:val="0"/>
          <w:numId w:val="1005"/>
        </w:numPr>
        <w:pStyle w:val="Compact"/>
      </w:pPr>
      <w:r>
        <w:t xml:space="preserve">NYC Market Share: 17.3% (up from 12.8% in Q3 2022)</w:t>
      </w:r>
    </w:p>
    <w:p>
      <w:pPr>
        <w:numPr>
          <w:ilvl w:val="0"/>
          <w:numId w:val="1005"/>
        </w:numPr>
        <w:pStyle w:val="Compact"/>
      </w:pPr>
      <w:r>
        <w:t xml:space="preserve">Average Deal Size: $64,500 (vs. $52,800 in Q3 2022)</w:t>
      </w:r>
    </w:p>
    <w:p>
      <w:pPr>
        <w:numPr>
          <w:ilvl w:val="0"/>
          <w:numId w:val="1005"/>
        </w:numPr>
        <w:pStyle w:val="Compact"/>
      </w:pPr>
      <w:r>
        <w:t xml:space="preserve">Customer Satisfaction Score: 9.7/10 (based on NYC client surveys)</w:t>
      </w:r>
    </w:p>
    <w:p>
      <w:pPr>
        <w:pStyle w:val="FirstParagraph"/>
      </w:pPr>
      <w:r>
        <w:rPr>
          <w:bCs/>
          <w:b/>
        </w:rPr>
        <w:t xml:space="preserve">Prepared by:</w:t>
      </w:r>
      <w:r>
        <w:t xml:space="preserve"> </w:t>
      </w:r>
      <w:r>
        <w:t xml:space="preserve">NYC Sales Strategy Team, Professor Platform Inc.</w:t>
      </w:r>
      <w:r>
        <w:br/>
      </w:r>
      <w:r>
        <w:rPr>
          <w:bCs/>
          <w:b/>
        </w:rPr>
        <w:t xml:space="preserve">Contact:</w:t>
      </w:r>
      <w:r>
        <w:t xml:space="preserve"> </w:t>
      </w:r>
      <w:r>
        <w:t xml:space="preserve">sales.nyc@professorplatform.com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Professor Platform Performance in United States New York City</dc:title>
  <dc:creator/>
  <cp:keywords/>
  <dcterms:created xsi:type="dcterms:W3CDTF">2026-07-25T05:08:19Z</dcterms:created>
  <dcterms:modified xsi:type="dcterms:W3CDTF">2026-07-25T05:08:19Z</dcterms:modified>
</cp:coreProperties>
</file>

<file path=docProps/custom.xml><?xml version="1.0" encoding="utf-8"?>
<Properties xmlns="http://schemas.openxmlformats.org/officeDocument/2006/custom-properties" xmlns:vt="http://schemas.openxmlformats.org/officeDocument/2006/docPropsVTypes"/>
</file>