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Platform</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79e7c05bbf49154e193701085dd62044800924b"/>
    <w:p>
      <w:pPr>
        <w:pStyle w:val="Heading1"/>
      </w:pPr>
      <w:r>
        <w:t xml:space="preserve">Comprehensive Sales Report: Professor Educational Platform Market Performance in United States San Francisco</w:t>
      </w:r>
    </w:p>
    <w:bookmarkStart w:id="20" w:name="executive-summary"/>
    <w:p>
      <w:pPr>
        <w:pStyle w:val="Heading2"/>
      </w:pPr>
      <w:r>
        <w:t xml:space="preserve">Executive Summary</w:t>
      </w:r>
    </w:p>
    <w:p>
      <w:pPr>
        <w:pStyle w:val="FirstParagraph"/>
      </w:pPr>
      <w:r>
        <w:t xml:space="preserve">This Sales Report details the performance of the innovative "Professor" educational platform across the United States San Francisco market during Q3 2023. The data reveals exceptional growth trajectories, positioning Professor as a transformative solution for higher education institutions within Northern California's dynamic academic ecosystem. With a remarkable 147% year-over-year revenue increase and penetration into 85% of key universities in the San Francisco metro area, Professor has established itself as the premier educational technology partner for institutions prioritizing pedagogical innovation. This report validates our strategic focus on United States San Francisco as a critical growth engine for platform expansion nationwide.</w:t>
      </w:r>
    </w:p>
    <w:bookmarkEnd w:id="20"/>
    <w:bookmarkStart w:id="21" w:name="Xbd6eb319a022746a4fb335bb8d2a84fb03c387a"/>
    <w:p>
      <w:pPr>
        <w:pStyle w:val="Heading2"/>
      </w:pPr>
      <w:r>
        <w:t xml:space="preserve">Market Context: Why United States San Francisco Matters</w:t>
      </w:r>
    </w:p>
    <w:p>
      <w:pPr>
        <w:pStyle w:val="FirstParagraph"/>
      </w:pPr>
      <w:r>
        <w:t xml:space="preserve">San Francisco represents more than just a geographic market—it is the epicenter of educational innovation in the United States. As home to Stanford University, UC Berkeley, and numerous elite private institutions, this metropolitan area attracts 42% of all venture capital funding for EdTech startups nationally. The Professor platform's success here stems from aligning precisely with San Francisco's unique academic culture: an unwavering commitment to experiential learning, technology integration in curricula, and demand for data-driven instructional tools. Our Sales Report confirms that institutions in United States San Francisco prioritize solutions that enhance student engagement while providing actionable analytics—exactly what Professor delivers through its AI-powered adaptive learning modules.</w:t>
      </w:r>
    </w:p>
    <w:bookmarkEnd w:id="21"/>
    <w:bookmarkStart w:id="22" w:name="q3-2023-performance-metrics"/>
    <w:p>
      <w:pPr>
        <w:pStyle w:val="Heading2"/>
      </w:pPr>
      <w:r>
        <w:t xml:space="preserve">Q3 2023 Performance Metrics</w:t>
      </w:r>
    </w:p>
    <w:p>
      <w:pPr>
        <w:pStyle w:val="FirstParagraph"/>
      </w:pPr>
      <w:r>
        <w:t xml:space="preserve">The following metrics, extracted from our Salesforce CRM system and verified by on-ground sales teams in United States San Francisco, demonstrate Professor's market leadership:</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(San Francisco)</w:t>
      </w:r>
    </w:p>
    <w:p>
      <w:pPr>
        <w:pStyle w:val="BodyText"/>
      </w:pPr>
      <w:r>
        <w:t xml:space="preserve">$1.87M</w:t>
      </w:r>
    </w:p>
    <w:p>
      <w:pPr>
        <w:pStyle w:val="BodyText"/>
      </w:pPr>
      <w:r>
        <w:t xml:space="preserve">$1.54M</w:t>
      </w:r>
    </w:p>
    <w:p>
      <w:pPr>
        <w:pStyle w:val="BodyText"/>
      </w:pPr>
      <w:r>
        <w:t xml:space="preserve">+21.4%</w:t>
      </w:r>
    </w:p>
    <w:p>
      <w:pPr>
        <w:pStyle w:val="BodyText"/>
      </w:pPr>
      <w:r>
        <w:t xml:space="preserve">New Institutional Contracts</w:t>
      </w:r>
    </w:p>
    <w:p>
      <w:pPr>
        <w:pStyle w:val="BodyText"/>
      </w:pPr>
      <w:r>
        <w:t xml:space="preserve">32</w:t>
      </w:r>
    </w:p>
    <w:p>
      <w:pPr>
        <w:pStyle w:val="BodyText"/>
      </w:pPr>
      <w:r>
        <w:t xml:space="preserve">24</w:t>
      </w:r>
    </w:p>
    <w:p>
      <w:pPr>
        <w:pStyle w:val="BodyText"/>
      </w:pPr>
      <w:r>
        <w:t xml:space="preserve">+33.3%</w:t>
      </w:r>
    </w:p>
    <w:p>
      <w:pPr>
        <w:pStyle w:val="BodyText"/>
      </w:pPr>
      <w:r>
        <w:t xml:space="preserve">Platform Adoption Rate</w:t>
      </w:r>
    </w:p>
    <w:p>
      <w:pPr>
        <w:pStyle w:val="BodyText"/>
      </w:pPr>
      <w:r>
        <w:t xml:space="preserve">85% (of target universities)</w:t>
      </w:r>
    </w:p>
    <w:p>
      <w:pPr>
        <w:pStyle w:val="BodyText"/>
      </w:pPr>
      <w:r>
        <w:t xml:space="preserve">76%</w:t>
      </w:r>
    </w:p>
    <w:p>
      <w:pPr>
        <w:pStyle w:val="BodyText"/>
      </w:pPr>
      <w:r>
        <w:t xml:space="preserve">+9 pts.</w:t>
      </w:r>
    </w:p>
    <w:p>
      <w:pPr>
        <w:pStyle w:val="BodyText"/>
      </w:pPr>
      <w:r>
        <w:t xml:space="preserve">Average Deal Size</w:t>
      </w:r>
    </w:p>
    <w:p>
      <w:pPr>
        <w:pStyle w:val="BodyText"/>
      </w:pPr>
      <w:r>
        <w:t xml:space="preserve">$58,400</w:t>
      </w:r>
    </w:p>
    <w:p>
      <w:pPr>
        <w:pStyle w:val="BodyText"/>
      </w:pPr>
      <w:r>
        <w:t xml:space="preserve">$52,100</w:t>
      </w:r>
    </w:p>
    <w:p>
      <w:pPr>
        <w:pStyle w:val="BodyText"/>
      </w:pPr>
      <w:r>
        <w:t xml:space="preserve">+12.1%</w:t>
      </w:r>
    </w:p>
    <w:p>
      <w:pPr>
        <w:pStyle w:val="BodyText"/>
      </w:pPr>
      <w:r>
        <w:t xml:space="preserve">Notably, the University of San Francisco and San Francisco State University signed multi-year enterprise contracts totaling $478K in Q3 alone—representing a 78% increase in enterprise deal size compared to prior quarter. These agreements included customized Professor modules for STEM and business programs, directly addressing pedagogical pain points identified through our campus engagement initiatives.</w:t>
      </w:r>
    </w:p>
    <w:bookmarkEnd w:id="22"/>
    <w:bookmarkStart w:id="23" w:name="segment-specific-performance-analysis"/>
    <w:p>
      <w:pPr>
        <w:pStyle w:val="Heading2"/>
      </w:pPr>
      <w:r>
        <w:t xml:space="preserve">Segment-Specific Performance Analysis</w:t>
      </w:r>
    </w:p>
    <w:p>
      <w:pPr>
        <w:pStyle w:val="FirstParagraph"/>
      </w:pPr>
      <w:r>
        <w:t xml:space="preserve">The United States San Francisco market revealed distinct patterns across academic segments:</w:t>
      </w:r>
    </w:p>
    <w:p>
      <w:pPr>
        <w:numPr>
          <w:ilvl w:val="0"/>
          <w:numId w:val="1001"/>
        </w:numPr>
        <w:pStyle w:val="Compact"/>
      </w:pPr>
      <w:r>
        <w:rPr>
          <w:bCs/>
          <w:b/>
        </w:rPr>
        <w:t xml:space="preserve">Research Universities (Stanford, UC Berkeley):</w:t>
      </w:r>
      <w:r>
        <w:t xml:space="preserve"> </w:t>
      </w:r>
      <w:r>
        <w:t xml:space="preserve">Accounted for 63% of total revenue. These institutions prioritized Professor's advanced analytics suite for research-driven courses. Custom integrations with campus LMS systems (Canvas, Moodle) were the decisive factor in closing these high-value deals.</w:t>
      </w:r>
    </w:p>
    <w:p>
      <w:pPr>
        <w:numPr>
          <w:ilvl w:val="0"/>
          <w:numId w:val="1001"/>
        </w:numPr>
        <w:pStyle w:val="Compact"/>
      </w:pPr>
      <w:r>
        <w:rPr>
          <w:bCs/>
          <w:b/>
        </w:rPr>
        <w:t xml:space="preserve">Public Universities (SF State, San Francisco City College):</w:t>
      </w:r>
      <w:r>
        <w:t xml:space="preserve"> </w:t>
      </w:r>
      <w:r>
        <w:t xml:space="preserve">Contributed 27% of revenue. Price sensitivity was mitigated through our "Equity Access" pricing model offering reduced rates for underrepresented student populations—aligning with California's AB 540 policies.</w:t>
      </w:r>
    </w:p>
    <w:p>
      <w:pPr>
        <w:numPr>
          <w:ilvl w:val="0"/>
          <w:numId w:val="1001"/>
        </w:numPr>
        <w:pStyle w:val="Compact"/>
      </w:pPr>
      <w:r>
        <w:rPr>
          <w:bCs/>
          <w:b/>
        </w:rPr>
        <w:t xml:space="preserve">Private Colleges (USF, Art Institute):</w:t>
      </w:r>
      <w:r>
        <w:t xml:space="preserve"> </w:t>
      </w:r>
      <w:r>
        <w:t xml:space="preserve">Generated 10% of revenue. These institutions focused on Professor's virtual lab simulations for arts and design programs, driving a 32% increase in non-traditional course adoption.</w:t>
      </w:r>
    </w:p>
    <w:bookmarkEnd w:id="23"/>
    <w:bookmarkStart w:id="24" w:name="X796055016cd0dc5260fffc0e122c5b9fe438cc3"/>
    <w:p>
      <w:pPr>
        <w:pStyle w:val="Heading2"/>
      </w:pPr>
      <w:r>
        <w:t xml:space="preserve">Competitive Landscape in United States San Francisco</w:t>
      </w:r>
    </w:p>
    <w:p>
      <w:pPr>
        <w:pStyle w:val="FirstParagraph"/>
      </w:pPr>
      <w:r>
        <w:t xml:space="preserve">Our Sales Report indicates Professor has outperformed competitors by 3.7x in market share growth within the San Francisco academic sector. Key differentiators include:</w:t>
      </w:r>
    </w:p>
    <w:p>
      <w:pPr>
        <w:numPr>
          <w:ilvl w:val="0"/>
          <w:numId w:val="1002"/>
        </w:numPr>
        <w:pStyle w:val="Compact"/>
      </w:pPr>
      <w:r>
        <w:rPr>
          <w:bCs/>
          <w:b/>
        </w:rPr>
        <w:t xml:space="preserve">Cultural Alignment:</w:t>
      </w:r>
      <w:r>
        <w:t xml:space="preserve"> </w:t>
      </w:r>
      <w:r>
        <w:t xml:space="preserve">Unlike national competitors with generic solutions, Professor's content co-created with San Francisco faculty (e.g., case studies on tech ethics from local Silicon Valley companies) resonated deeply.</w:t>
      </w:r>
    </w:p>
    <w:p>
      <w:pPr>
        <w:numPr>
          <w:ilvl w:val="0"/>
          <w:numId w:val="1002"/>
        </w:numPr>
        <w:pStyle w:val="Compact"/>
      </w:pPr>
      <w:r>
        <w:rPr>
          <w:bCs/>
          <w:b/>
        </w:rPr>
        <w:t xml:space="preserve">Local Presence:</w:t>
      </w:r>
      <w:r>
        <w:t xml:space="preserve"> </w:t>
      </w:r>
      <w:r>
        <w:t xml:space="preserve">Our dedicated 8-person sales team based in the Mission District enabled rapid on-site demos during university planning cycles—critical for institutions with tight fiscal year timelines.</w:t>
      </w:r>
    </w:p>
    <w:p>
      <w:pPr>
        <w:numPr>
          <w:ilvl w:val="0"/>
          <w:numId w:val="1002"/>
        </w:numPr>
        <w:pStyle w:val="Compact"/>
      </w:pPr>
      <w:r>
        <w:rPr>
          <w:bCs/>
          <w:b/>
        </w:rPr>
        <w:t xml:space="preserve">Sustainability Integration:</w:t>
      </w:r>
      <w:r>
        <w:t xml:space="preserve"> </w:t>
      </w:r>
      <w:r>
        <w:t xml:space="preserve">Professor's carbon-neutral server infrastructure attracted institutions like UC Berkeley prioritizing ESG compliance, a factor overlooked by 92% of competitors according to campus sustainability office surveys.</w:t>
      </w:r>
    </w:p>
    <w:bookmarkEnd w:id="24"/>
    <w:bookmarkStart w:id="25" w:name="challenges-and-strategic-opportunities"/>
    <w:p>
      <w:pPr>
        <w:pStyle w:val="Heading2"/>
      </w:pPr>
      <w:r>
        <w:t xml:space="preserve">Challenges and Strategic Opportunities</w:t>
      </w:r>
    </w:p>
    <w:p>
      <w:pPr>
        <w:pStyle w:val="FirstParagraph"/>
      </w:pPr>
      <w:r>
        <w:t xml:space="preserve">While results are strong, the Sales Report identifies two key challenges requiring attention in United States San Francisco:</w:t>
      </w:r>
    </w:p>
    <w:p>
      <w:pPr>
        <w:numPr>
          <w:ilvl w:val="0"/>
          <w:numId w:val="1003"/>
        </w:numPr>
        <w:pStyle w:val="Compact"/>
      </w:pPr>
      <w:r>
        <w:rPr>
          <w:bCs/>
          <w:b/>
        </w:rPr>
        <w:t xml:space="preserve">Integration Complexity:</w:t>
      </w:r>
      <w:r>
        <w:t xml:space="preserve"> </w:t>
      </w:r>
      <w:r>
        <w:t xml:space="preserve">18% of smaller institutions cited LMS migration hurdles. Our response: Launched "San Francisco Fast-Track" integration package with zero-cost staff training—reducing implementation time from 12 to 4 weeks.</w:t>
      </w:r>
    </w:p>
    <w:p>
      <w:pPr>
        <w:numPr>
          <w:ilvl w:val="0"/>
          <w:numId w:val="1003"/>
        </w:numPr>
        <w:pStyle w:val="Compact"/>
      </w:pPr>
      <w:r>
        <w:rPr>
          <w:bCs/>
          <w:b/>
        </w:rPr>
        <w:t xml:space="preserve">Competitor Price Pressure:</w:t>
      </w:r>
      <w:r>
        <w:t xml:space="preserve"> </w:t>
      </w:r>
      <w:r>
        <w:t xml:space="preserve">One major university initially considered a competitor's $30K lower initial quote. Professor countered by emphasizing long-term TCO savings (averaging $147K over 3 years) through reduced student attrition metrics.</w:t>
      </w:r>
    </w:p>
    <w:p>
      <w:pPr>
        <w:pStyle w:val="FirstParagraph"/>
      </w:pPr>
      <w:r>
        <w:t xml:space="preserve">These challenges also reveal opportunities: The "Fast-Track" program generated 22 new leads in Q3, proving that addressing friction points drives market expansion. Additionally, the Silicon Valley tech ecosystem presents untapped potential—we're developing a dedicated "Professor for Tech Companies" module to help firms upskill employees using the same platform (piloted with Salesforce and NVIDIA in Q4).</w:t>
      </w:r>
    </w:p>
    <w:bookmarkEnd w:id="25"/>
    <w:bookmarkStart w:id="26" w:name="Xdd930aadcb0dcfd59ed01ff4d9db768beed3ee9"/>
    <w:p>
      <w:pPr>
        <w:pStyle w:val="Heading2"/>
      </w:pPr>
      <w:r>
        <w:t xml:space="preserve">Recommendations for United States San Francisco Market Expansion</w:t>
      </w:r>
    </w:p>
    <w:p>
      <w:pPr>
        <w:pStyle w:val="FirstParagraph"/>
      </w:pPr>
      <w:r>
        <w:t xml:space="preserve">Based on this Sales Report, we recommend three strategic actions:</w:t>
      </w:r>
    </w:p>
    <w:p>
      <w:pPr>
        <w:numPr>
          <w:ilvl w:val="0"/>
          <w:numId w:val="1004"/>
        </w:numPr>
        <w:pStyle w:val="Compact"/>
      </w:pPr>
      <w:r>
        <w:rPr>
          <w:bCs/>
          <w:b/>
        </w:rPr>
        <w:t xml:space="preserve">Establish a San Francisco Academic Advisory Board:</w:t>
      </w:r>
      <w:r>
        <w:t xml:space="preserve"> </w:t>
      </w:r>
      <w:r>
        <w:t xml:space="preserve">Recruit 5+ prominent faculty from top universities to co-develop curriculum-specific content. This would address the "local relevance" gap that cost us one major contract in Q2.</w:t>
      </w:r>
    </w:p>
    <w:p>
      <w:pPr>
        <w:numPr>
          <w:ilvl w:val="0"/>
          <w:numId w:val="1004"/>
        </w:numPr>
        <w:pStyle w:val="Compact"/>
      </w:pPr>
      <w:r>
        <w:rPr>
          <w:bCs/>
          <w:b/>
        </w:rPr>
        <w:t xml:space="preserve">Leverage University Partnerships for Sales Cycles:</w:t>
      </w:r>
      <w:r>
        <w:t xml:space="preserve"> </w:t>
      </w:r>
      <w:r>
        <w:t xml:space="preserve">Partner with campus innovation centers (like Stanford's EdTech Lab) for joint workshops—expected to shorten sales cycles by 30% based on pilot data.</w:t>
      </w:r>
    </w:p>
    <w:p>
      <w:pPr>
        <w:numPr>
          <w:ilvl w:val="0"/>
          <w:numId w:val="1004"/>
        </w:numPr>
        <w:pStyle w:val="Compact"/>
      </w:pPr>
      <w:r>
        <w:rPr>
          <w:bCs/>
          <w:b/>
        </w:rPr>
        <w:t xml:space="preserve">Launch the "Professor Catalyst Fund":</w:t>
      </w:r>
      <w:r>
        <w:t xml:space="preserve"> </w:t>
      </w:r>
      <w:r>
        <w:t xml:space="preserve">Allocate $500K to subsidize first-year adoption for institutions serving 40%+ underrepresented students. San Francisco's demographic profile makes this critical for equity-aligned sales growth.</w:t>
      </w:r>
    </w:p>
    <w:bookmarkEnd w:id="26"/>
    <w:bookmarkStart w:id="27" w:name="X74bcfe8e933b7237b5d96cb19961469b787ed7c"/>
    <w:p>
      <w:pPr>
        <w:pStyle w:val="Heading2"/>
      </w:pPr>
      <w:r>
        <w:t xml:space="preserve">Conclusion: The Professor Advantage in United States San Francisco</w:t>
      </w:r>
    </w:p>
    <w:p>
      <w:pPr>
        <w:pStyle w:val="FirstParagraph"/>
      </w:pPr>
      <w:r>
        <w:t xml:space="preserve">The United States San Francisco market has proven that Professor isn't merely a product—it's a catalyst for academic transformation. Our Q3 Sales Report demonstrates that when educational technology aligns with local institutional priorities, rapid adoption and premium pricing become achievable. As the first EdTech platform to exceed $1M in quarterly revenue within San Francisco's academic sector, Professor has set a new benchmark for market-specific solution design.</w:t>
      </w:r>
    </w:p>
    <w:p>
      <w:pPr>
        <w:pStyle w:val="BodyText"/>
      </w:pPr>
      <w:r>
        <w:t xml:space="preserve">Looking ahead, we project 200% revenue growth in United States San Francisco by Q3 2024 through our recommended strategies. This expansion will be the foundation for nationwide replication, as San Francisco serves as the optimal proving ground for educational innovation in the United States. The Professor platform's success here validates that true market leadership requires deep community integration—not just transactional sales. As one UC Berkeley administrator noted during our Q3 review: "Professor isn't just a tool; it's become part of how we teach." This sentiment, captured across 142 campus feedback sessions, is the cornerstone of our continued growth narrative.</w:t>
      </w:r>
    </w:p>
    <w:p>
      <w:pPr>
        <w:pStyle w:val="BodyText"/>
      </w:pPr>
      <w:r>
        <w:rPr>
          <w:bCs/>
          <w:b/>
        </w:rPr>
        <w:t xml:space="preserve">Prepared for Executive Review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Educational Platform Performance in United States San Francisco</dc:title>
  <dc:creator/>
  <dc:language>en</dc:language>
  <cp:keywords/>
  <dcterms:created xsi:type="dcterms:W3CDTF">2026-07-24T23:13:21Z</dcterms:created>
  <dcterms:modified xsi:type="dcterms:W3CDTF">2026-07-24T23:13:21Z</dcterms:modified>
</cp:coreProperties>
</file>

<file path=docProps/custom.xml><?xml version="1.0" encoding="utf-8"?>
<Properties xmlns="http://schemas.openxmlformats.org/officeDocument/2006/custom-properties" xmlns:vt="http://schemas.openxmlformats.org/officeDocument/2006/docPropsVTypes"/>
</file>