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in</w:t>
      </w:r>
      <w:r>
        <w:t xml:space="preserve"> </w:t>
      </w:r>
      <w:r>
        <w:t xml:space="preserve">Uzbekistan</w:t>
      </w:r>
      <w:r>
        <w:t xml:space="preserve"> </w:t>
      </w:r>
      <w:r>
        <w:t xml:space="preserve">Tashkent</w:t>
      </w:r>
    </w:p>
    <w:bookmarkStart w:id="29" w:name="X7c8da2e5cafcff230680a28f4a13fd74aa4b854"/>
    <w:p>
      <w:pPr>
        <w:pStyle w:val="Heading1"/>
      </w:pPr>
      <w:r>
        <w:t xml:space="preserve">ANNUAL SALES REPORT: PROFESSOR PRODUCT LINE IN UZBEKISTAN TASHKENT MARKET</w:t>
      </w:r>
    </w:p>
    <w:bookmarkStart w:id="20" w:name="executive-summary"/>
    <w:p>
      <w:pPr>
        <w:pStyle w:val="Heading2"/>
      </w:pPr>
      <w:r>
        <w:t xml:space="preserve">Executive Summary</w:t>
      </w:r>
    </w:p>
    <w:p>
      <w:pPr>
        <w:pStyle w:val="FirstParagraph"/>
      </w:pPr>
      <w:r>
        <w:t xml:space="preserve">This comprehensive Sales Report details the performance of the Professor educational technology product line across Uzbekistan Tashkent during the fiscal year 2023-2024. As a leading provider of AI-driven learning solutions, Professor has achieved remarkable market penetration in Tashkent, establishing itself as a transformative force in Central Asia's education sector. The Sales Report confirms a 147% year-over-year growth in revenue, with Tashkent contributing 63% of all Uzbekistan sales. This success underscores the strategic importance of Uzbekistan Tashkent as Professor's flagship market for expanding into emerging economies.</w:t>
      </w:r>
    </w:p>
    <w:bookmarkEnd w:id="20"/>
    <w:bookmarkStart w:id="21" w:name="X8114439f89b3670ddc2b2041981e902e7e28bd0"/>
    <w:p>
      <w:pPr>
        <w:pStyle w:val="Heading2"/>
      </w:pPr>
      <w:r>
        <w:t xml:space="preserve">Market Analysis: Professor in Uzbekistan Tashkent Context</w:t>
      </w:r>
    </w:p>
    <w:p>
      <w:pPr>
        <w:pStyle w:val="FirstParagraph"/>
      </w:pPr>
      <w:r>
        <w:t xml:space="preserve">The educational technology landscape in Uzbekistan has undergone significant transformation since the government's 2018 "Digital Education" initiative. As the capital and economic hub, Tashkent represents a microcosm of this national shift, with over 450 schools and universities adopting digital learning platforms. Professor entered this market in Q1 2022 with its adaptive learning platform targeting secondary education, and has since become synonymous with quality digital pedagogy in Uzbekistan Tashkent.</w:t>
      </w:r>
    </w:p>
    <w:p>
      <w:pPr>
        <w:pStyle w:val="BodyText"/>
      </w:pPr>
      <w:r>
        <w:t xml:space="preserve">Our Sales Report identifies three critical market drivers: (1) Government mandates for digital literacy integration into curricula, (2) Teacher demand for AI-assisted lesson planning tools, and (3) Parental preference for personalized learning solutions. In Tashkent specifically, Professor's localized Uzbek-language interface has been pivotal—87% of schools cited language adaptation as their primary adoption factor. This localization strategy was developed in collaboration with Tashkent State Pedagogical University, cementing Professor's academic credibility in the region.</w:t>
      </w:r>
    </w:p>
    <w:bookmarkEnd w:id="21"/>
    <w:bookmarkStart w:id="22" w:name="Xf3c0c046df2d8020483deb4a71f0edb50cf86e4"/>
    <w:p>
      <w:pPr>
        <w:pStyle w:val="Heading2"/>
      </w:pPr>
      <w:r>
        <w:t xml:space="preserve">Performance Highlights: Tashkent Sales Data</w:t>
      </w:r>
    </w:p>
    <w:p>
      <w:pPr>
        <w:pStyle w:val="FirstParagraph"/>
      </w:pPr>
      <w:r>
        <w:t xml:space="preserve">Quarter</w:t>
      </w:r>
    </w:p>
    <w:p>
      <w:pPr>
        <w:pStyle w:val="BodyText"/>
      </w:pPr>
      <w:r>
        <w:t xml:space="preserve">Revenue (USD)</w:t>
      </w:r>
    </w:p>
    <w:p>
      <w:pPr>
        <w:pStyle w:val="BodyText"/>
      </w:pPr>
      <w:r>
        <w:t xml:space="preserve">Active Schools</w:t>
      </w:r>
    </w:p>
    <w:p>
      <w:pPr>
        <w:pStyle w:val="BodyText"/>
      </w:pPr>
      <w:r>
        <w:t xml:space="preserve">New Institutional Clients</w:t>
      </w:r>
    </w:p>
    <w:p>
      <w:pPr>
        <w:pStyle w:val="BodyText"/>
      </w:pPr>
      <w:r>
        <w:t xml:space="preserve">Q1 2023</w:t>
      </w:r>
    </w:p>
    <w:p>
      <w:pPr>
        <w:pStyle w:val="BodyText"/>
      </w:pPr>
      <w:r>
        <w:t xml:space="preserve">$185,000</w:t>
      </w:r>
    </w:p>
    <w:p>
      <w:pPr>
        <w:pStyle w:val="BodyText"/>
      </w:pPr>
      <w:r>
        <w:t xml:space="preserve">47</w:t>
      </w:r>
    </w:p>
    <w:p>
      <w:pPr>
        <w:pStyle w:val="BodyText"/>
      </w:pPr>
      <w:r>
        <w:t xml:space="preserve">12</w:t>
      </w:r>
    </w:p>
    <w:p>
      <w:pPr>
        <w:pStyle w:val="BodyText"/>
      </w:pPr>
      <w:r>
        <w:t xml:space="preserve">Q2 2023</w:t>
      </w:r>
    </w:p>
    <w:p>
      <w:pPr>
        <w:pStyle w:val="BodyText"/>
      </w:pPr>
      <w:r>
        <w:t xml:space="preserve">$317,500</w:t>
      </w:r>
    </w:p>
    <w:p>
      <w:pPr>
        <w:pStyle w:val="BodyText"/>
      </w:pPr>
      <w:r>
        <w:t xml:space="preserve">Breakthrough Expansion: Tashkent City School District contract signed</w:t>
      </w:r>
    </w:p>
    <w:p>
      <w:pPr>
        <w:pStyle w:val="BodyText"/>
      </w:pPr>
      <w:r>
        <w:t xml:space="preserve">Q3 2023</w:t>
      </w:r>
    </w:p>
    <w:p>
      <w:pPr>
        <w:pStyle w:val="BodyText"/>
      </w:pPr>
      <w:r>
        <w:t xml:space="preserve">$489,900</w:t>
      </w:r>
    </w:p>
    <w:p>
      <w:pPr>
        <w:pStyle w:val="BodyText"/>
      </w:pPr>
      <w:r>
        <w:t xml:space="preserve">183</w:t>
      </w:r>
    </w:p>
    <w:p>
      <w:pPr>
        <w:pStyle w:val="BodyText"/>
      </w:pPr>
      <w:r>
        <w:t xml:space="preserve">45</w:t>
      </w:r>
    </w:p>
    <w:p>
      <w:pPr>
        <w:pStyle w:val="BodyText"/>
      </w:pPr>
      <w:r>
        <w:t xml:space="preserve">Q4 2023</w:t>
      </w:r>
    </w:p>
    <w:p>
      <w:pPr>
        <w:pStyle w:val="BodyText"/>
      </w:pPr>
      <w:r>
        <w:t xml:space="preserve">$765,200 (QoQ: +56%) - Highest Quarterly Revenue in Professor History</w:t>
      </w:r>
    </w:p>
    <w:p>
      <w:pPr>
        <w:pStyle w:val="BodyText"/>
      </w:pPr>
      <w:r>
        <w:t xml:space="preserve">The Sales Report reveals that Tashkent's market saturation has accelerated dramatically. Key milestones include:</w:t>
      </w:r>
    </w:p>
    <w:p>
      <w:pPr>
        <w:numPr>
          <w:ilvl w:val="0"/>
          <w:numId w:val="1001"/>
        </w:numPr>
        <w:pStyle w:val="Compact"/>
      </w:pPr>
      <w:r>
        <w:t xml:space="preserve">First university partnership with Tashkent Institute of Economics (March 2023)</w:t>
      </w:r>
    </w:p>
    <w:p>
      <w:pPr>
        <w:numPr>
          <w:ilvl w:val="0"/>
          <w:numId w:val="1001"/>
        </w:numPr>
        <w:pStyle w:val="Compact"/>
      </w:pPr>
      <w:r>
        <w:t xml:space="preserve">Government contract for 1,200 classrooms across Tashkent City (October 2023)</w:t>
      </w:r>
    </w:p>
    <w:p>
      <w:pPr>
        <w:numPr>
          <w:ilvl w:val="0"/>
          <w:numId w:val="1001"/>
        </w:numPr>
        <w:pStyle w:val="Compact"/>
      </w:pPr>
      <w:r>
        <w:t xml:space="preserve">Premium subscription adoption rate at 78% among schools vs. regional average of 54%</w:t>
      </w:r>
    </w:p>
    <w:bookmarkEnd w:id="22"/>
    <w:bookmarkStart w:id="23" w:name="customer-satisfaction-market-position"/>
    <w:p>
      <w:pPr>
        <w:pStyle w:val="Heading2"/>
      </w:pPr>
      <w:r>
        <w:t xml:space="preserve">Customer Satisfaction &amp; Market Position</w:t>
      </w:r>
    </w:p>
    <w:p>
      <w:pPr>
        <w:pStyle w:val="FirstParagraph"/>
      </w:pPr>
      <w:r>
        <w:t xml:space="preserve">Professor's market leadership in Uzbekistan Tashkent is validated by our Customer Satisfaction Survey (Q4 2023), which recorded a 93% Net Promoter Score. Teachers cited "seamless integration with existing curricula" as the top benefit, while school administrators highlighted "significant reduction in teacher preparation time." This satisfaction directly translates to retention—Professor maintains a 91% customer renewal rate in Tashkent versus the industry average of 75%.</w:t>
      </w:r>
    </w:p>
    <w:p>
      <w:pPr>
        <w:pStyle w:val="BodyText"/>
      </w:pPr>
      <w:r>
        <w:t xml:space="preserve">Our competitive analysis reveals that Professor dominates the $3.2M Tashkent edtech market with 42% share, far exceeding regional competitors (GlobalEd: 28%, EduTechAsia: 19%). This leadership is particularly notable given Uzbekistan's rapidly growing education technology sector, which expanded at 37% annually in Tashkent according to the National Statistics Agency.</w:t>
      </w:r>
    </w:p>
    <w:bookmarkEnd w:id="23"/>
    <w:bookmarkStart w:id="24" w:name="challenges-strategic-adaptations"/>
    <w:p>
      <w:pPr>
        <w:pStyle w:val="Heading2"/>
      </w:pPr>
      <w:r>
        <w:t xml:space="preserve">Challenges &amp; Strategic Adaptations</w:t>
      </w:r>
    </w:p>
    <w:p>
      <w:pPr>
        <w:pStyle w:val="FirstParagraph"/>
      </w:pPr>
      <w:r>
        <w:t xml:space="preserve">The Sales Report identifies two primary challenges in Uzbekistan Tashkent:</w:t>
      </w:r>
    </w:p>
    <w:p>
      <w:pPr>
        <w:numPr>
          <w:ilvl w:val="0"/>
          <w:numId w:val="1002"/>
        </w:numPr>
        <w:pStyle w:val="Compact"/>
      </w:pPr>
      <w:r>
        <w:rPr>
          <w:bCs/>
          <w:b/>
        </w:rPr>
        <w:t xml:space="preserve">Infrastructure Limitations:</w:t>
      </w:r>
      <w:r>
        <w:t xml:space="preserve"> </w:t>
      </w:r>
      <w:r>
        <w:t xml:space="preserve">31% of schools in peripheral Tashkent districts lack reliable high-speed internet. Professor's response was developing offline-first mobile modules, resulting in a 200% increase in usage among rural Tashkent schools.</w:t>
      </w:r>
    </w:p>
    <w:p>
      <w:pPr>
        <w:numPr>
          <w:ilvl w:val="0"/>
          <w:numId w:val="1002"/>
        </w:numPr>
        <w:pStyle w:val="Compact"/>
      </w:pPr>
      <w:r>
        <w:rPr>
          <w:bCs/>
          <w:b/>
        </w:rPr>
        <w:t xml:space="preserve">Cultural Nuances:</w:t>
      </w:r>
      <w:r>
        <w:t xml:space="preserve"> </w:t>
      </w:r>
      <w:r>
        <w:t xml:space="preserve">Initial reluctance to adopt AI-driven teaching tools required localized training programs. We co-created "Professor Mentor" workshops with Tashkent Teachers' Union, increasing teacher adoption by 67% within six months.</w:t>
      </w:r>
    </w:p>
    <w:bookmarkEnd w:id="24"/>
    <w:bookmarkStart w:id="25" w:name="X2ca3bc37a4730482f4e8b4fcdc6604a66db7037"/>
    <w:p>
      <w:pPr>
        <w:pStyle w:val="Heading2"/>
      </w:pPr>
      <w:r>
        <w:t xml:space="preserve">Future Growth Strategy for Uzbekistan Tashkent</w:t>
      </w:r>
    </w:p>
    <w:p>
      <w:pPr>
        <w:pStyle w:val="FirstParagraph"/>
      </w:pPr>
      <w:r>
        <w:t xml:space="preserve">The Sales Report outlines a three-phase growth plan for Professor in Uzbekistan Tashkent:</w:t>
      </w:r>
    </w:p>
    <w:p>
      <w:pPr>
        <w:numPr>
          <w:ilvl w:val="0"/>
          <w:numId w:val="1003"/>
        </w:numPr>
        <w:pStyle w:val="Compact"/>
      </w:pPr>
      <w:r>
        <w:rPr>
          <w:bCs/>
          <w:b/>
        </w:rPr>
        <w:t xml:space="preserve">Phase 1 (2024):</w:t>
      </w:r>
      <w:r>
        <w:t xml:space="preserve"> </w:t>
      </w:r>
      <w:r>
        <w:t xml:space="preserve">Expand to all 5,000+ schools in Tashkent region through government partnerships. Target: 35% market penetration.</w:t>
      </w:r>
    </w:p>
    <w:p>
      <w:pPr>
        <w:numPr>
          <w:ilvl w:val="0"/>
          <w:numId w:val="1003"/>
        </w:numPr>
        <w:pStyle w:val="Compact"/>
      </w:pPr>
      <w:r>
        <w:rPr>
          <w:bCs/>
          <w:b/>
        </w:rPr>
        <w:t xml:space="preserve">Phase 2 (2025):</w:t>
      </w:r>
      <w:r>
        <w:t xml:space="preserve"> </w:t>
      </w:r>
      <w:r>
        <w:t xml:space="preserve">Launch Professor vocational training modules aligned with Uzbekistan's "New Industrialization" policy. Focus on Tashkent's emerging tech hubs like "Tashkent City" business park.</w:t>
      </w:r>
    </w:p>
    <w:p>
      <w:pPr>
        <w:numPr>
          <w:ilvl w:val="0"/>
          <w:numId w:val="1003"/>
        </w:numPr>
        <w:pStyle w:val="Compact"/>
      </w:pPr>
      <w:r>
        <w:rPr>
          <w:bCs/>
          <w:b/>
        </w:rPr>
        <w:t xml:space="preserve">Phase 3 (2026):</w:t>
      </w:r>
      <w:r>
        <w:t xml:space="preserve"> </w:t>
      </w:r>
      <w:r>
        <w:t xml:space="preserve">Establish Professor Central Asia headquarters in Tashkent to support regional expansion into Kazakhstan and Kyrgyzstan.</w:t>
      </w:r>
    </w:p>
    <w:bookmarkEnd w:id="25"/>
    <w:bookmarkStart w:id="26" w:name="economic-impact-on-uzbekistan-tashkent"/>
    <w:p>
      <w:pPr>
        <w:pStyle w:val="Heading2"/>
      </w:pPr>
      <w:r>
        <w:t xml:space="preserve">Economic Impact on Uzbekistan Tashkent</w:t>
      </w:r>
    </w:p>
    <w:p>
      <w:pPr>
        <w:pStyle w:val="FirstParagraph"/>
      </w:pPr>
      <w:r>
        <w:t xml:space="preserve">Beyond commercial success, Professor has generated significant socio-economic value in Uzbekistan Tashkent:</w:t>
      </w:r>
    </w:p>
    <w:p>
      <w:pPr>
        <w:numPr>
          <w:ilvl w:val="0"/>
          <w:numId w:val="1004"/>
        </w:numPr>
        <w:pStyle w:val="Compact"/>
      </w:pPr>
      <w:r>
        <w:t xml:space="preserve">Created 127 local jobs (83% Uzbeks) at our Tashkent office since 2023</w:t>
      </w:r>
    </w:p>
    <w:p>
      <w:pPr>
        <w:numPr>
          <w:ilvl w:val="0"/>
          <w:numId w:val="1004"/>
        </w:numPr>
        <w:pStyle w:val="Compact"/>
      </w:pPr>
      <w:r>
        <w:t xml:space="preserve">Trained over 4,500 teachers through Professor Academy programs in Tashkent</w:t>
      </w:r>
    </w:p>
    <w:p>
      <w:pPr>
        <w:numPr>
          <w:ilvl w:val="0"/>
          <w:numId w:val="1004"/>
        </w:numPr>
        <w:pStyle w:val="Compact"/>
      </w:pPr>
      <w:r>
        <w:t xml:space="preserve">Contributed $1.8M to Uzbekistan's digital economy via local content development</w:t>
      </w:r>
    </w:p>
    <w:bookmarkEnd w:id="26"/>
    <w:bookmarkStart w:id="28" w:name="X2d34cb2dc83e4821d0ac749acb72d4eb012d30d"/>
    <w:p>
      <w:pPr>
        <w:pStyle w:val="Heading2"/>
      </w:pPr>
      <w:r>
        <w:t xml:space="preserve">Conclusion: The Professor Tashkent Success Model</w:t>
      </w:r>
    </w:p>
    <w:p>
      <w:pPr>
        <w:pStyle w:val="FirstParagraph"/>
      </w:pPr>
      <w:r>
        <w:t xml:space="preserve">This Sales Report conclusively demonstrates that the Professor product line has redefined educational technology standards in Uzbekistan Tashkent. Our localized approach—rooted in understanding of Tashkent's unique educational ecosystem—has transformed us from a foreign vendor to an essential national partner. As Uzbekistan accelerates its digital education goals under President Mirziyoyev's "Digital Uzbekistan 2030" vision, Professor is positioned as the technology backbone for Tashkent schools.</w:t>
      </w:r>
    </w:p>
    <w:p>
      <w:pPr>
        <w:pStyle w:val="BodyText"/>
      </w:pPr>
      <w:r>
        <w:t xml:space="preserve">The data is unequivocal: In a market where traditional edtech firms struggle to achieve 15% year-over-year growth, Professor achieved 147%. This isn't merely sales success—it's the establishment of a new paradigm. Our Sales Report confirms that Professor has become synonymous with quality digital education in Uzbekistan Tashkent, and we project continued dominance as the market expands. The future of education in Uzbekistan Tashkent will be shaped by Professor's innovative solutions, proving that strategic localization combined with cutting-edge technology creates unstoppable market momentum.</w:t>
      </w:r>
    </w:p>
    <w:bookmarkStart w:id="27" w:name="Xeeddd05758c728846daffa88c499077581acc3a"/>
    <w:p>
      <w:pPr>
        <w:pStyle w:val="Heading3"/>
      </w:pPr>
      <w:r>
        <w:t xml:space="preserve">Prepared By: Global Sales Intelligence Team</w:t>
      </w:r>
    </w:p>
    <w:p>
      <w:pPr>
        <w:pStyle w:val="FirstParagraph"/>
      </w:pPr>
      <w:r>
        <w:t xml:space="preserve">Date: October 26, 2023 | For Internal Use - Uzbekistan Tashkent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 Product Line in Uzbekistan Tashkent</dc:title>
  <dc:creator/>
  <dc:language>en</dc:language>
  <cp:keywords/>
  <dcterms:created xsi:type="dcterms:W3CDTF">2026-07-23T15:40:18Z</dcterms:created>
  <dcterms:modified xsi:type="dcterms:W3CDTF">2026-07-23T15:40:18Z</dcterms:modified>
</cp:coreProperties>
</file>

<file path=docProps/custom.xml><?xml version="1.0" encoding="utf-8"?>
<Properties xmlns="http://schemas.openxmlformats.org/officeDocument/2006/custom-properties" xmlns:vt="http://schemas.openxmlformats.org/officeDocument/2006/docPropsVTypes"/>
</file>