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Iraq</w:t>
      </w:r>
      <w:r>
        <w:t xml:space="preserve"> </w:t>
      </w:r>
      <w:r>
        <w:t xml:space="preserve">Baghdad</w:t>
      </w:r>
    </w:p>
    <w:bookmarkStart w:id="27" w:name="Xabb38c07d2ffda45340d28a29ea85ddd9c2c9db"/>
    <w:p>
      <w:pPr>
        <w:pStyle w:val="Heading1"/>
      </w:pPr>
      <w:r>
        <w:t xml:space="preserve">Comprehensive Sales Report: Strategic Project Management Impact in Iraq Baghdad Market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w:t>
      </w:r>
      <w:r>
        <w:t xml:space="preserve"> </w:t>
      </w:r>
      <w:r>
        <w:rPr>
          <w:bCs/>
          <w:b/>
        </w:rPr>
        <w:t xml:space="preserve">Location:</w:t>
      </w:r>
      <w:r>
        <w:t xml:space="preserve"> </w:t>
      </w:r>
      <w:r>
        <w:t xml:space="preserve">Baghdad, Iraq</w:t>
      </w:r>
    </w:p>
    <w:bookmarkStart w:id="20" w:name="i.-executive-summary"/>
    <w:p>
      <w:pPr>
        <w:pStyle w:val="Heading2"/>
      </w:pPr>
      <w:r>
        <w:t xml:space="preserve">I. Executive Summary</w:t>
      </w:r>
    </w:p>
    <w:p>
      <w:pPr>
        <w:pStyle w:val="FirstParagraph"/>
      </w:pPr>
      <w:r>
        <w:t xml:space="preserve">This report details the strategic performance of our Project Manager role within the Sales Department across Baghdad, Iraq. As the cornerstone of client delivery and sales execution in one of our most dynamic and challenging markets, the Project Manager directly influences revenue growth, client retention, and operational excellence. Despite complex geopolitical conditions and infrastructure limitations in Baghdad, this role has driven a 32% year-over-year increase in sales conversion rates through meticulous project oversight. The data presented herein underscores why investing in elite Project Management capabilities remains non-negotiable for sustained success in the Iraq Baghdad market.</w:t>
      </w:r>
    </w:p>
    <w:bookmarkEnd w:id="20"/>
    <w:bookmarkStart w:id="21" w:name="Xb76094c4fc377c538530b80b7248ff22f1dc620"/>
    <w:p>
      <w:pPr>
        <w:pStyle w:val="Heading2"/>
      </w:pPr>
      <w:r>
        <w:t xml:space="preserve">II. Market Context: Iraq Baghdad Sales Landscape</w:t>
      </w:r>
    </w:p>
    <w:p>
      <w:pPr>
        <w:pStyle w:val="FirstParagraph"/>
      </w:pPr>
      <w:r>
        <w:t xml:space="preserve">The Baghdad market presents unique opportunities and hurdles for sales operations. With a rapidly growing urban population (over 10 million residents) and significant infrastructure development projects, demand for our solutions is high. However, challenges persist including fluctuating security conditions, bureaucratic delays at local government levels, and the need for culturally attuned client engagement. In this environment, the Project Manager functions as both a strategic sales enabler and an operational risk mitigator. Their ability to navigate Baghdad's complex business ecosystem directly determines whether sales opportunities translate into profitable contracts.</w:t>
      </w:r>
    </w:p>
    <w:bookmarkEnd w:id="21"/>
    <w:bookmarkStart w:id="22" w:name="X59e1865cdacf578d99670225ef6a5d719d97bfb"/>
    <w:p>
      <w:pPr>
        <w:pStyle w:val="Heading2"/>
      </w:pPr>
      <w:r>
        <w:t xml:space="preserve">III. Project Manager: The Sales Catalyst in Baghdad Operations</w:t>
      </w:r>
    </w:p>
    <w:p>
      <w:pPr>
        <w:pStyle w:val="FirstParagraph"/>
      </w:pPr>
      <w:r>
        <w:t xml:space="preserve">Our Project Manager is not merely a task coordinator; they are the central hub connecting Sales Strategy, Client Needs, and On-the-Ground Execution within Iraq Baghdad. Key responsibilities include:</w:t>
      </w:r>
    </w:p>
    <w:p>
      <w:pPr>
        <w:numPr>
          <w:ilvl w:val="0"/>
          <w:numId w:val="1001"/>
        </w:numPr>
        <w:pStyle w:val="Compact"/>
      </w:pPr>
      <w:r>
        <w:rPr>
          <w:bCs/>
          <w:b/>
        </w:rPr>
        <w:t xml:space="preserve">Sales Pipeline Optimization:</w:t>
      </w:r>
      <w:r>
        <w:t xml:space="preserve"> </w:t>
      </w:r>
      <w:r>
        <w:t xml:space="preserve">Tracking lead-to-conversion timelines for all Baghdad-based sales teams, reducing average sales cycle duration by 27% through proactive milestone management.</w:t>
      </w:r>
    </w:p>
    <w:p>
      <w:pPr>
        <w:numPr>
          <w:ilvl w:val="0"/>
          <w:numId w:val="1001"/>
        </w:numPr>
        <w:pStyle w:val="Compact"/>
      </w:pPr>
      <w:r>
        <w:rPr>
          <w:bCs/>
          <w:b/>
        </w:rPr>
        <w:t xml:space="preserve">Client Relationship Stewardship:</w:t>
      </w:r>
      <w:r>
        <w:t xml:space="preserve"> </w:t>
      </w:r>
      <w:r>
        <w:t xml:space="preserve">Serving as the primary point of contact for major Baghdad accounts (e.g., Ministry of Finance, Baghdad Electricity Distribution), ensuring service delivery aligns with sales promises and cultural expectations.</w:t>
      </w:r>
    </w:p>
    <w:p>
      <w:pPr>
        <w:numPr>
          <w:ilvl w:val="0"/>
          <w:numId w:val="1001"/>
        </w:numPr>
        <w:pStyle w:val="Compact"/>
      </w:pPr>
      <w:r>
        <w:rPr>
          <w:bCs/>
          <w:b/>
        </w:rPr>
        <w:t xml:space="preserve">Risk Mitigation Framework:</w:t>
      </w:r>
      <w:r>
        <w:t xml:space="preserve"> </w:t>
      </w:r>
      <w:r>
        <w:t xml:space="preserve">Implementing security-compliant project protocols that account for Baghdad's specific operational landscape, preventing delays from local infrastructure disruptions.</w:t>
      </w:r>
    </w:p>
    <w:p>
      <w:pPr>
        <w:numPr>
          <w:ilvl w:val="0"/>
          <w:numId w:val="1001"/>
        </w:numPr>
        <w:pStyle w:val="Compact"/>
      </w:pPr>
      <w:r>
        <w:rPr>
          <w:bCs/>
          <w:b/>
        </w:rPr>
        <w:t xml:space="preserve">Data-Driven Sales Reporting:</w:t>
      </w:r>
      <w:r>
        <w:t xml:space="preserve"> </w:t>
      </w:r>
      <w:r>
        <w:t xml:space="preserve">Generating weekly performance dashboards highlighting Baghdad sales trends, competitor activity, and project health metrics for executive review.</w:t>
      </w:r>
    </w:p>
    <w:bookmarkEnd w:id="22"/>
    <w:bookmarkStart w:id="23" w:name="X3a309aed68be016e9a8ae24269c078670ab1449"/>
    <w:p>
      <w:pPr>
        <w:pStyle w:val="Heading2"/>
      </w:pPr>
      <w:r>
        <w:t xml:space="preserve">IV. Quantifiable Sales Impact: Q3 2023 Performance</w:t>
      </w:r>
    </w:p>
    <w:p>
      <w:pPr>
        <w:pStyle w:val="FirstParagraph"/>
      </w:pPr>
      <w:r>
        <w:t xml:space="preserve">The Project Manager’s role has delivered measurable results in the Baghdad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Key Metric</w:t>
            </w:r>
          </w:p>
        </w:tc>
        <w:tc>
          <w:tcPr/>
          <w:p>
            <w:pPr>
              <w:pStyle w:val="Compact"/>
              <w:jc w:val="left"/>
            </w:pPr>
            <w:r>
              <w:t xml:space="preserve">Q3 2023 Performance</w:t>
            </w:r>
          </w:p>
        </w:tc>
        <w:tc>
          <w:tcPr/>
          <w:p>
            <w:pPr>
              <w:pStyle w:val="Compact"/>
              <w:jc w:val="left"/>
            </w:pPr>
            <w:r>
              <w:t xml:space="preserve">YoY Growth</w:t>
            </w:r>
          </w:p>
        </w:tc>
      </w:tr>
      <w:tr>
        <w:tc>
          <w:tcPr/>
          <w:p>
            <w:pPr>
              <w:pStyle w:val="Compact"/>
              <w:jc w:val="left"/>
            </w:pPr>
            <w:r>
              <w:t xml:space="preserve">Sales Conversion Rate (Baghdad)</w:t>
            </w:r>
          </w:p>
        </w:tc>
        <w:tc>
          <w:tcPr/>
          <w:p>
            <w:pPr>
              <w:pStyle w:val="Compact"/>
              <w:jc w:val="left"/>
            </w:pPr>
            <w:r>
              <w:t xml:space="preserve">68%</w:t>
            </w:r>
          </w:p>
        </w:tc>
        <w:tc>
          <w:tcPr/>
          <w:p>
            <w:pPr>
              <w:pStyle w:val="Compact"/>
              <w:jc w:val="left"/>
            </w:pPr>
            <w:r>
              <w:t xml:space="preserve">+32% (from 51% in Q3 2022)</w:t>
            </w:r>
          </w:p>
        </w:tc>
      </w:tr>
      <w:tr>
        <w:tc>
          <w:tcPr/>
          <w:p>
            <w:pPr>
              <w:pStyle w:val="Compact"/>
              <w:jc w:val="left"/>
            </w:pPr>
            <w:r>
              <w:t xml:space="preserve">Avg. Project Delivery Time</w:t>
            </w:r>
          </w:p>
        </w:tc>
        <w:tc>
          <w:tcPr/>
          <w:p>
            <w:pPr>
              <w:pStyle w:val="Compact"/>
              <w:jc w:val="left"/>
            </w:pPr>
            <w:r>
              <w:t xml:space="preserve">78 days</w:t>
            </w:r>
          </w:p>
        </w:tc>
        <w:tc>
          <w:tcPr/>
          <w:p>
            <w:pPr>
              <w:pStyle w:val="Compact"/>
              <w:jc w:val="left"/>
            </w:pPr>
            <w:r>
              <w:t xml:space="preserve">-19 days vs. prior year</w:t>
            </w:r>
          </w:p>
        </w:tc>
      </w:tr>
      <w:tr>
        <w:tc>
          <w:tcPr/>
          <w:p>
            <w:pPr>
              <w:pStyle w:val="Compact"/>
              <w:jc w:val="left"/>
            </w:pPr>
            <w:r>
              <w:t xml:space="preserve">Client Retention Rate (Key Accounts)</w:t>
            </w:r>
          </w:p>
        </w:tc>
        <w:tc>
          <w:tcPr/>
          <w:p>
            <w:pPr>
              <w:pStyle w:val="Compact"/>
              <w:jc w:val="left"/>
            </w:pPr>
            <w:r>
              <w:t xml:space="preserve">89%</w:t>
            </w:r>
          </w:p>
        </w:tc>
        <w:tc>
          <w:tcPr/>
          <w:p>
            <w:pPr>
              <w:pStyle w:val="Compact"/>
              <w:jc w:val="left"/>
            </w:pPr>
            <w:r>
              <w:t xml:space="preserve">+24% YoY</w:t>
            </w:r>
          </w:p>
        </w:tc>
      </w:tr>
    </w:tbl>
    <w:p>
      <w:pPr>
        <w:pStyle w:val="BodyText"/>
      </w:pPr>
      <w:r>
        <w:t xml:space="preserve">These improvements directly correlate with the Project Manager’s implementation of Baghdad-specific workflows, including:</w:t>
      </w:r>
    </w:p>
    <w:p>
      <w:pPr>
        <w:numPr>
          <w:ilvl w:val="0"/>
          <w:numId w:val="1002"/>
        </w:numPr>
        <w:pStyle w:val="Compact"/>
      </w:pPr>
      <w:r>
        <w:t xml:space="preserve">Establishing secure communication channels compliant with Iraq's data regulations.</w:t>
      </w:r>
    </w:p>
    <w:p>
      <w:pPr>
        <w:numPr>
          <w:ilvl w:val="0"/>
          <w:numId w:val="1002"/>
        </w:numPr>
        <w:pStyle w:val="Compact"/>
      </w:pPr>
      <w:r>
        <w:t xml:space="preserve">Developing a localized vendor network across Baghdad districts (e.g., Al-Mansour, Karrada) to accelerate on-site installations.</w:t>
      </w:r>
    </w:p>
    <w:p>
      <w:pPr>
        <w:numPr>
          <w:ilvl w:val="0"/>
          <w:numId w:val="1002"/>
        </w:numPr>
        <w:pStyle w:val="Compact"/>
      </w:pPr>
      <w:r>
        <w:t xml:space="preserve">Training sales teams on cultural nuances of Baghdad business etiquette, reducing client miscommunication incidents by 41%.</w:t>
      </w:r>
    </w:p>
    <w:bookmarkEnd w:id="23"/>
    <w:bookmarkStart w:id="24" w:name="X2faa7a357d6876582e1bfd0a473244d97cb424a"/>
    <w:p>
      <w:pPr>
        <w:pStyle w:val="Heading2"/>
      </w:pPr>
      <w:r>
        <w:t xml:space="preserve">V. Challenges Addressed in Iraq Baghdad Context</w:t>
      </w:r>
    </w:p>
    <w:p>
      <w:pPr>
        <w:pStyle w:val="FirstParagraph"/>
      </w:pPr>
      <w:r>
        <w:t xml:space="preserve">The Project Manager has proactively resolved critical Baghdad-specific obstacles:</w:t>
      </w:r>
    </w:p>
    <w:p>
      <w:pPr>
        <w:numPr>
          <w:ilvl w:val="0"/>
          <w:numId w:val="1003"/>
        </w:numPr>
        <w:pStyle w:val="Compact"/>
      </w:pPr>
      <w:r>
        <w:rPr>
          <w:bCs/>
          <w:b/>
        </w:rPr>
        <w:t xml:space="preserve">Security-Driven Scheduling:</w:t>
      </w:r>
      <w:r>
        <w:t xml:space="preserve"> </w:t>
      </w:r>
      <w:r>
        <w:t xml:space="preserve">Adjusting project timelines around heightened security zones (e.g., near Green Zone, Tahrir Square) without delaying sales commitments.</w:t>
      </w:r>
    </w:p>
    <w:p>
      <w:pPr>
        <w:numPr>
          <w:ilvl w:val="0"/>
          <w:numId w:val="1003"/>
        </w:numPr>
        <w:pStyle w:val="Compact"/>
      </w:pPr>
      <w:r>
        <w:rPr>
          <w:bCs/>
          <w:b/>
        </w:rPr>
        <w:t xml:space="preserve">Bureaucratic Navigation:</w:t>
      </w:r>
      <w:r>
        <w:t xml:space="preserve"> </w:t>
      </w:r>
      <w:r>
        <w:t xml:space="preserve">Preparing all documentation for Baghdad government approvals 30% faster through dedicated liaison relationships with municipal offices.</w:t>
      </w:r>
    </w:p>
    <w:p>
      <w:pPr>
        <w:numPr>
          <w:ilvl w:val="0"/>
          <w:numId w:val="1003"/>
        </w:numPr>
        <w:pStyle w:val="Compact"/>
      </w:pPr>
      <w:r>
        <w:rPr>
          <w:bCs/>
          <w:b/>
        </w:rPr>
        <w:t xml:space="preserve">Infrastructure Adaptation:</w:t>
      </w:r>
      <w:r>
        <w:t xml:space="preserve"> </w:t>
      </w:r>
      <w:r>
        <w:t xml:space="preserve">Implementing offline project tracking protocols during Baghdad’s frequent power outages, maintaining sales data integrity.</w:t>
      </w:r>
    </w:p>
    <w:bookmarkEnd w:id="24"/>
    <w:bookmarkStart w:id="25" w:name="X68e4417493134a91fd2c5c7cce07cb1c0cebcfd"/>
    <w:p>
      <w:pPr>
        <w:pStyle w:val="Heading2"/>
      </w:pPr>
      <w:r>
        <w:t xml:space="preserve">VI. Strategic Recommendations for Iraq Baghdad Sales Growth</w:t>
      </w:r>
    </w:p>
    <w:p>
      <w:pPr>
        <w:pStyle w:val="FirstParagraph"/>
      </w:pPr>
      <w:r>
        <w:t xml:space="preserve">To capitalize on our momentum in Baghdad, the following actions are recommended:</w:t>
      </w:r>
    </w:p>
    <w:p>
      <w:pPr>
        <w:numPr>
          <w:ilvl w:val="0"/>
          <w:numId w:val="1004"/>
        </w:numPr>
        <w:pStyle w:val="Compact"/>
      </w:pPr>
      <w:r>
        <w:rPr>
          <w:bCs/>
          <w:b/>
        </w:rPr>
        <w:t xml:space="preserve">Expand Project Manager Capacity:</w:t>
      </w:r>
      <w:r>
        <w:t xml:space="preserve"> </w:t>
      </w:r>
      <w:r>
        <w:t xml:space="preserve">Hire an additional Project Manager specifically for Baghdad to handle the 40% surge in sales leads from Q1–Q3 2023.</w:t>
      </w:r>
    </w:p>
    <w:p>
      <w:pPr>
        <w:numPr>
          <w:ilvl w:val="0"/>
          <w:numId w:val="1004"/>
        </w:numPr>
        <w:pStyle w:val="Compact"/>
      </w:pPr>
      <w:r>
        <w:rPr>
          <w:bCs/>
          <w:b/>
        </w:rPr>
        <w:t xml:space="preserve">Develop Baghdad-Specific KPIs:</w:t>
      </w:r>
      <w:r>
        <w:t xml:space="preserve"> </w:t>
      </w:r>
      <w:r>
        <w:t xml:space="preserve">Create metrics focused on local success factors (e.g., "Time to First Delivery in Baghdad Districts," "Security-Compliance Adherence Rate").</w:t>
      </w:r>
    </w:p>
    <w:p>
      <w:pPr>
        <w:numPr>
          <w:ilvl w:val="0"/>
          <w:numId w:val="1004"/>
        </w:numPr>
        <w:pStyle w:val="Compact"/>
      </w:pPr>
      <w:r>
        <w:rPr>
          <w:bCs/>
          <w:b/>
        </w:rPr>
        <w:t xml:space="preserve">Invest in Local Talent Pipeline:</w:t>
      </w:r>
      <w:r>
        <w:t xml:space="preserve"> </w:t>
      </w:r>
      <w:r>
        <w:t xml:space="preserve">Partner with Baghdad Technical University to recruit and train project management talent familiar with the city's business culture.</w:t>
      </w:r>
    </w:p>
    <w:p>
      <w:pPr>
        <w:numPr>
          <w:ilvl w:val="0"/>
          <w:numId w:val="1004"/>
        </w:numPr>
        <w:pStyle w:val="Compact"/>
      </w:pPr>
      <w:r>
        <w:rPr>
          <w:bCs/>
          <w:b/>
        </w:rPr>
        <w:t xml:space="preserve">Enhance Baghdad Sales Tech Stack:</w:t>
      </w:r>
      <w:r>
        <w:t xml:space="preserve"> </w:t>
      </w:r>
      <w:r>
        <w:t xml:space="preserve">Implement mobile-enabled project tracking tools compatible with Iraq’s limited 4G infrastructure, ensuring real-time data access across Baghdad neighborhoods.</w:t>
      </w:r>
    </w:p>
    <w:bookmarkEnd w:id="25"/>
    <w:bookmarkStart w:id="26" w:name="X38259ab04316b3c64c94f0b62309211dabde075"/>
    <w:p>
      <w:pPr>
        <w:pStyle w:val="Heading2"/>
      </w:pPr>
      <w:r>
        <w:t xml:space="preserve">VII. Conclusion: Project Management as the Sales Engine in Baghdad</w:t>
      </w:r>
    </w:p>
    <w:p>
      <w:pPr>
        <w:pStyle w:val="FirstParagraph"/>
      </w:pPr>
      <w:r>
        <w:t xml:space="preserve">In the Iraq Baghdad market, where client trust is built through consistent delivery and cultural respect, the Project Manager is not a support role—it is the sales engine itself. This report confirms that our current Project Manager’s work has transformed how we win and retain business in one of the Middle East’s most vital yet complex markets. Their ability to turn Baghdad-specific challenges into operational advantages has directly contributed to a 19% increase in regional revenue this year. As we expand operations across Iraq, scaling this Project Manager model—tailored for Baghdad’s unique landscape—will be essential to our sustained sales success.</w:t>
      </w:r>
    </w:p>
    <w:p>
      <w:pPr>
        <w:pStyle w:val="BodyText"/>
      </w:pPr>
      <w:r>
        <w:rPr>
          <w:bCs/>
          <w:b/>
        </w:rPr>
        <w:t xml:space="preserve">Recommendation:</w:t>
      </w:r>
      <w:r>
        <w:t xml:space="preserve"> </w:t>
      </w:r>
      <w:r>
        <w:t xml:space="preserve">Approve budget for two additional Project Managers focused exclusively on Baghdad by Q1 2024. The ROI from enhanced sales execution will exceed investment costs within 8 months, driven by faster deal closure and higher client lifetime value in this high-potential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Iraq Baghdad</dc:title>
  <dc:creator/>
  <dc:language>en</dc:language>
  <cp:keywords/>
  <dcterms:created xsi:type="dcterms:W3CDTF">2025-12-10T21:31:30Z</dcterms:created>
  <dcterms:modified xsi:type="dcterms:W3CDTF">2025-12-10T21:31:30Z</dcterms:modified>
</cp:coreProperties>
</file>

<file path=docProps/custom.xml><?xml version="1.0" encoding="utf-8"?>
<Properties xmlns="http://schemas.openxmlformats.org/officeDocument/2006/custom-properties" xmlns:vt="http://schemas.openxmlformats.org/officeDocument/2006/docPropsVTypes"/>
</file>