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Russia</w:t>
      </w:r>
      <w:r>
        <w:t xml:space="preserve"> </w:t>
      </w:r>
      <w:r>
        <w:t xml:space="preserve">Moscow</w:t>
      </w:r>
    </w:p>
    <w:bookmarkStart w:id="27" w:name="Xb10be639632c3bc48563e0c889123440fdace7c"/>
    <w:p>
      <w:pPr>
        <w:pStyle w:val="Heading1"/>
      </w:pPr>
      <w:r>
        <w:t xml:space="preserve">Annual Sales Report: Strategic Performance of Project Managers in Russia Moscow Market (2023)</w:t>
      </w:r>
    </w:p>
    <w:bookmarkStart w:id="20" w:name="introduction"/>
    <w:p>
      <w:pPr>
        <w:pStyle w:val="Heading2"/>
      </w:pPr>
      <w:r>
        <w:t xml:space="preserve">Introduction</w:t>
      </w:r>
    </w:p>
    <w:p>
      <w:pPr>
        <w:pStyle w:val="FirstParagraph"/>
      </w:pPr>
      <w:r>
        <w:t xml:space="preserve">This comprehensive Sales Report details the operational and financial achievements of our Project Management team within the dynamic Russia Moscow market. As a critical hub for our Eastern European operations, Moscow demands exceptional project leadership to navigate complex commercial landscapes while driving sustainable revenue growth. This document serves as an essential analysis of how our dedicated Project Managers have executed sales strategies, overcome regional challenges, and delivered measurable results across key sectors including IT infrastructure, manufacturing solutions, and enterprise software deployments.</w:t>
      </w:r>
    </w:p>
    <w:bookmarkEnd w:id="20"/>
    <w:bookmarkStart w:id="21" w:name="X3423987c1f13e3a2f8d6e68b336fb809d9d505f"/>
    <w:p>
      <w:pPr>
        <w:pStyle w:val="Heading2"/>
      </w:pPr>
      <w:r>
        <w:t xml:space="preserve">Sales Performance Overview: Moscow Market Context</w:t>
      </w:r>
    </w:p>
    <w:p>
      <w:pPr>
        <w:pStyle w:val="FirstParagraph"/>
      </w:pPr>
      <w:r>
        <w:t xml:space="preserve">The Russia Moscow market represented 37% of our total Eastern European revenue in 2023, with an ambitious target of $18.5M in new sales. Our Project Managers consistently exceeded this benchmark by achieving $21.3M in closed deals, representing a remarkable 15% year-over-year growth despite geopolitical headwinds. This success was fueled by localized sales strategies developed specifically for Moscow's unique business environment, where 78% of enterprise clients prioritize relationship-driven project execution over pure product features.</w:t>
      </w:r>
    </w:p>
    <w:p>
      <w:pPr>
        <w:pStyle w:val="BodyText"/>
      </w:pPr>
      <w:r>
        <w:t xml:space="preserve">Crucially, our Project Managers implemented a refined sales cycle optimization model that reduced deal velocity from 12 to 8.5 weeks in Russia Moscow. This efficiency translated directly into $4.2M in incremental revenue through faster pipeline acceleration – a metric directly tied to the strategic positioning of Project Managers as revenue catalysts rather than mere operational coordinators.</w:t>
      </w:r>
    </w:p>
    <w:bookmarkEnd w:id="21"/>
    <w:bookmarkStart w:id="22" w:name="X1b5feee8660617feed0458b50e33191b935f17e"/>
    <w:p>
      <w:pPr>
        <w:pStyle w:val="Heading2"/>
      </w:pPr>
      <w:r>
        <w:t xml:space="preserve">The Indispensable Role of the Project Manager in Sales Success</w:t>
      </w:r>
    </w:p>
    <w:p>
      <w:pPr>
        <w:pStyle w:val="FirstParagraph"/>
      </w:pPr>
      <w:r>
        <w:t xml:space="preserve">In Moscow's competitive business climate, the Project Manager transcends traditional coordination duties to become a core sales driver. Our data reveals that deals managed by certified PMP-certified Project Managers achieved 31% higher win rates compared to non-certified counterparts. This stems from their dual expertise: understanding technical solution delivery while mastering Moscow's nuanced B2B negotiation culture.</w:t>
      </w:r>
    </w:p>
    <w:p>
      <w:pPr>
        <w:pStyle w:val="BodyText"/>
      </w:pPr>
      <w:r>
        <w:t xml:space="preserve">Key differentiators observed in Russia Moscow include:</w:t>
      </w:r>
    </w:p>
    <w:p>
      <w:pPr>
        <w:numPr>
          <w:ilvl w:val="0"/>
          <w:numId w:val="1001"/>
        </w:numPr>
        <w:pStyle w:val="Compact"/>
      </w:pPr>
      <w:r>
        <w:rPr>
          <w:bCs/>
          <w:b/>
        </w:rPr>
        <w:t xml:space="preserve">Cultural Intelligence:</w:t>
      </w:r>
      <w:r>
        <w:t xml:space="preserve"> </w:t>
      </w:r>
      <w:r>
        <w:t xml:space="preserve">Project Managers who integrated local business etiquette (e.g., formal introductions at first meetings, understanding Russian "dolzhnostnaya" hierarchy) secured 44% more enterprise contracts</w:t>
      </w:r>
    </w:p>
    <w:p>
      <w:pPr>
        <w:numPr>
          <w:ilvl w:val="0"/>
          <w:numId w:val="1001"/>
        </w:numPr>
        <w:pStyle w:val="Compact"/>
      </w:pPr>
      <w:r>
        <w:rPr>
          <w:bCs/>
          <w:b/>
        </w:rPr>
        <w:t xml:space="preserve">Risk Mitigation:</w:t>
      </w:r>
      <w:r>
        <w:t xml:space="preserve"> </w:t>
      </w:r>
      <w:r>
        <w:t xml:space="preserve">Proactive identification of regulatory hurdles (especially in fintech and energy sectors) prevented $2.8M in potential deal attrition during Q3 2023</w:t>
      </w:r>
    </w:p>
    <w:p>
      <w:pPr>
        <w:numPr>
          <w:ilvl w:val="0"/>
          <w:numId w:val="1001"/>
        </w:numPr>
        <w:pStyle w:val="Compact"/>
      </w:pPr>
      <w:r>
        <w:rPr>
          <w:bCs/>
          <w:b/>
        </w:rPr>
        <w:t xml:space="preserve">Stakeholder Alignment:</w:t>
      </w:r>
      <w:r>
        <w:t xml:space="preserve"> </w:t>
      </w:r>
      <w:r>
        <w:t xml:space="preserve">Moscow clients reported 91% satisfaction with Project Managers' ability to bridge communication gaps between technical teams and C-suite decision-makers</w:t>
      </w:r>
    </w:p>
    <w:bookmarkEnd w:id="22"/>
    <w:bookmarkStart w:id="23" w:name="X5f88bcbca091407514107007c296bf9c894e175"/>
    <w:p>
      <w:pPr>
        <w:pStyle w:val="Heading2"/>
      </w:pPr>
      <w:r>
        <w:t xml:space="preserve">Challenges and Strategic Adaptations in Russia Moscow</w:t>
      </w:r>
    </w:p>
    <w:p>
      <w:pPr>
        <w:pStyle w:val="FirstParagraph"/>
      </w:pPr>
      <w:r>
        <w:t xml:space="preserve">The 2023 market environment presented unique complexities. Geopolitical sanctions required rapid adaptation of our sales playbook, where Project Managers became crucial in developing alternative supply chain solutions for Moscow-based clients. Our response included:</w:t>
      </w:r>
    </w:p>
    <w:p>
      <w:pPr>
        <w:numPr>
          <w:ilvl w:val="0"/>
          <w:numId w:val="1002"/>
        </w:numPr>
        <w:pStyle w:val="Compact"/>
      </w:pPr>
      <w:r>
        <w:t xml:space="preserve">Developing localized pricing models for sanctioned product categories</w:t>
      </w:r>
    </w:p>
    <w:p>
      <w:pPr>
        <w:numPr>
          <w:ilvl w:val="0"/>
          <w:numId w:val="1002"/>
        </w:numPr>
        <w:pStyle w:val="Compact"/>
      </w:pPr>
      <w:r>
        <w:t xml:space="preserve">Establishing regional backup data centers within Russia to ensure service continuity</w:t>
      </w:r>
    </w:p>
    <w:p>
      <w:pPr>
        <w:numPr>
          <w:ilvl w:val="0"/>
          <w:numId w:val="1002"/>
        </w:numPr>
        <w:pStyle w:val="Compact"/>
      </w:pPr>
      <w:r>
        <w:t xml:space="preserve">Training Project Managers in Russian-language technical documentation support (25+ team members certified)</w:t>
      </w:r>
    </w:p>
    <w:p>
      <w:pPr>
        <w:pStyle w:val="FirstParagraph"/>
      </w:pPr>
      <w:r>
        <w:t xml:space="preserve">This agile response, spearheaded by our Moscow-based Project Management lead, prevented a 19% potential revenue decline during Q4. The initiative was so successful that it's now being replicated across all CIS markets – a direct testament to the strategic value of embedded Project Managers in sales operations.</w:t>
      </w:r>
    </w:p>
    <w:bookmarkEnd w:id="23"/>
    <w:bookmarkStart w:id="24" w:name="quantifiable-achievements-and-metrics"/>
    <w:p>
      <w:pPr>
        <w:pStyle w:val="Heading2"/>
      </w:pPr>
      <w:r>
        <w:t xml:space="preserve">Quantifiable Achievements and Metrics</w:t>
      </w:r>
    </w:p>
    <w:p>
      <w:pPr>
        <w:pStyle w:val="FirstParagraph"/>
      </w:pPr>
      <w:r>
        <w:t xml:space="preserve">The following metrics demonstrate the tangible impact of our Project Manager strategy in Russia Moscow:</w:t>
      </w:r>
    </w:p>
    <w:p>
      <w:pPr>
        <w:pStyle w:val="BodyText"/>
      </w:pPr>
      <w:r>
        <w:t xml:space="preserve">KPI</w:t>
      </w:r>
    </w:p>
    <w:p>
      <w:pPr>
        <w:pStyle w:val="BodyText"/>
      </w:pPr>
      <w:r>
        <w:t xml:space="preserve">2023 Target</w:t>
      </w:r>
    </w:p>
    <w:p>
      <w:pPr>
        <w:pStyle w:val="BodyText"/>
      </w:pPr>
      <w:r>
        <w:t xml:space="preserve">Actual Result</w:t>
      </w:r>
    </w:p>
    <w:p>
      <w:pPr>
        <w:pStyle w:val="BodyText"/>
      </w:pPr>
      <w:r>
        <w:t xml:space="preserve">Deviation (%)</w:t>
      </w:r>
    </w:p>
    <w:p>
      <w:pPr>
        <w:pStyle w:val="BodyText"/>
      </w:pPr>
      <w:r>
        <w:t xml:space="preserve">New Sales Revenue (Moscow)</w:t>
      </w:r>
    </w:p>
    <w:p>
      <w:pPr>
        <w:pStyle w:val="BodyText"/>
      </w:pPr>
      <w:r>
        <w:t xml:space="preserve">$18.5M</w:t>
      </w:r>
    </w:p>
    <w:p>
      <w:pPr>
        <w:pStyle w:val="BodyText"/>
      </w:pPr>
      <w:r>
        <w:t xml:space="preserve">$21.3M</w:t>
      </w:r>
    </w:p>
    <w:p>
      <w:pPr>
        <w:pStyle w:val="BodyText"/>
      </w:pPr>
      <w:r>
        <w:t xml:space="preserve">+15.1%</w:t>
      </w:r>
    </w:p>
    <w:p>
      <w:pPr>
        <w:pStyle w:val="BodyText"/>
      </w:pPr>
      <w:r>
        <w:t xml:space="preserve">Deal Win Rate</w:t>
      </w:r>
    </w:p>
    <w:p>
      <w:pPr>
        <w:pStyle w:val="BodyText"/>
      </w:pPr>
      <w:r>
        <w:t xml:space="preserve">62%</w:t>
      </w:r>
    </w:p>
    <w:p>
      <w:pPr>
        <w:pStyle w:val="BodyText"/>
      </w:pPr>
      <w:r>
        <w:t xml:space="preserve">&lt;</w:t>
      </w:r>
    </w:p>
    <w:p>
      <w:pPr>
        <w:pStyle w:val="BodyText"/>
      </w:pPr>
      <w:r>
        <w:t xml:space="preserve">74.3%</w:t>
      </w:r>
    </w:p>
    <w:p>
      <w:pPr>
        <w:pStyle w:val="BodyText"/>
      </w:pPr>
      <w:r>
        <w:t xml:space="preserve">+19.0%</w:t>
      </w:r>
    </w:p>
    <w:p>
      <w:pPr>
        <w:pStyle w:val="BodyText"/>
      </w:pPr>
      <w:r>
        <w:t xml:space="preserve">Cross-Sell to Existing Clients</w:t>
      </w:r>
    </w:p>
    <w:p>
      <w:pPr>
        <w:pStyle w:val="BodyText"/>
      </w:pPr>
      <w:r>
        <w:t xml:space="preserve">28%</w:t>
      </w:r>
    </w:p>
    <w:p>
      <w:pPr>
        <w:pStyle w:val="BodyText"/>
      </w:pPr>
      <w:r>
        <w:t xml:space="preserve">&lt;</w:t>
      </w:r>
    </w:p>
    <w:p>
      <w:pPr>
        <w:pStyle w:val="BodyText"/>
      </w:pPr>
      <w:r>
        <w:t xml:space="preserve">41.7%</w:t>
      </w:r>
    </w:p>
    <w:p>
      <w:pPr>
        <w:pStyle w:val="BodyText"/>
      </w:pPr>
      <w:r>
        <w:t xml:space="preserve">+48.9% (vs target)</w:t>
      </w:r>
    </w:p>
    <w:p>
      <w:pPr>
        <w:pStyle w:val="BodyText"/>
      </w:pPr>
      <w:r>
        <w:t xml:space="preserve">Customer Retention Rate</w:t>
      </w:r>
    </w:p>
    <w:p>
      <w:pPr>
        <w:pStyle w:val="BodyText"/>
      </w:pPr>
      <w:r>
        <w:t xml:space="preserve">$15M</w:t>
      </w:r>
    </w:p>
    <w:p>
      <w:pPr>
        <w:pStyle w:val="BodyText"/>
      </w:pPr>
      <w:r>
        <w:t xml:space="preserve">$16.2M</w:t>
      </w:r>
    </w:p>
    <w:p>
      <w:pPr>
        <w:pStyle w:val="BodyText"/>
      </w:pPr>
      <w:r>
        <w:t xml:space="preserve">+8%</w:t>
      </w:r>
    </w:p>
    <w:p>
      <w:pPr>
        <w:pStyle w:val="BodyText"/>
      </w:pPr>
      <w:r>
        <w:t xml:space="preserve">Notably, Project Managers drove 37% of all cross-sell opportunities in Russia Moscow through their deep client relationship management – a critical factor in reducing customer acquisition costs by 22% compared to global averages.</w:t>
      </w:r>
    </w:p>
    <w:bookmarkEnd w:id="24"/>
    <w:bookmarkStart w:id="25" w:name="Xf85025fed28c40f932d1077582ef14707f0041e"/>
    <w:p>
      <w:pPr>
        <w:pStyle w:val="Heading2"/>
      </w:pPr>
      <w:r>
        <w:t xml:space="preserve">Future Strategy: Scaling Project Manager Impact in Russia Moscow</w:t>
      </w:r>
    </w:p>
    <w:p>
      <w:pPr>
        <w:pStyle w:val="FirstParagraph"/>
      </w:pPr>
      <w:r>
        <w:t xml:space="preserve">Based on this Sales Report, we recommend three strategic initiatives for 2024 to further leverage our Project Manager advantage in Russia Moscow:</w:t>
      </w:r>
    </w:p>
    <w:p>
      <w:pPr>
        <w:numPr>
          <w:ilvl w:val="0"/>
          <w:numId w:val="1003"/>
        </w:numPr>
        <w:pStyle w:val="Compact"/>
      </w:pPr>
      <w:r>
        <w:rPr>
          <w:bCs/>
          <w:b/>
        </w:rPr>
        <w:t xml:space="preserve">Regional Certification Hub:</w:t>
      </w:r>
      <w:r>
        <w:t xml:space="preserve"> </w:t>
      </w:r>
      <w:r>
        <w:t xml:space="preserve">Establishing a dedicated Project Management academy in Moscow to certify 100+ local talent annually, reducing onboarding time from 6 months to 3.5 months</w:t>
      </w:r>
    </w:p>
    <w:p>
      <w:pPr>
        <w:numPr>
          <w:ilvl w:val="0"/>
          <w:numId w:val="1003"/>
        </w:numPr>
        <w:pStyle w:val="Compact"/>
      </w:pPr>
      <w:r>
        <w:rPr>
          <w:bCs/>
          <w:b/>
        </w:rPr>
        <w:t xml:space="preserve">AI-Powered Sales Intelligence:</w:t>
      </w:r>
      <w:r>
        <w:t xml:space="preserve"> </w:t>
      </w:r>
      <w:r>
        <w:t xml:space="preserve">Implementing custom analytics tools that predict Moscow client needs based on historical Project Manager interactions (projected ROI: $3.8M in new pipeline)</w:t>
      </w:r>
    </w:p>
    <w:p>
      <w:pPr>
        <w:pStyle w:val="FirstParagraph"/>
      </w:pPr>
      <w:r>
        <w:t xml:space="preserve">The Russia Moscow market continues to present unparalleled opportunities for revenue growth when managed with localized project leadership. This Sales Report confirms that our Project Managers are not merely operational assets but the primary engine driving sustainable sales excellence in one of Europe's most demanding markets.</w:t>
      </w:r>
    </w:p>
    <w:bookmarkEnd w:id="25"/>
    <w:bookmarkStart w:id="26" w:name="conclusion"/>
    <w:p>
      <w:pPr>
        <w:pStyle w:val="Heading2"/>
      </w:pPr>
      <w:r>
        <w:t xml:space="preserve">Conclusion</w:t>
      </w:r>
    </w:p>
    <w:p>
      <w:pPr>
        <w:pStyle w:val="FirstParagraph"/>
      </w:pPr>
      <w:r>
        <w:t xml:space="preserve">As evidenced in this comprehensive Sales Report, the strategic integration of skilled Project Managers into our Russia Moscow sales operations has transformed market performance. These professionals have consistently delivered revenue exceeding targets through cultural acumen, risk mitigation expertise, and relationship-driven sales execution. In a market where trust is currency and timelines are rigid, our Project Managers have become the critical differentiator that secures long-term client partnerships.</w:t>
      </w:r>
    </w:p>
    <w:p>
      <w:pPr>
        <w:pStyle w:val="BodyText"/>
      </w:pPr>
      <w:r>
        <w:t xml:space="preserve">The 2023 results establish an unshakeable foundation: for every $1 invested in enhancing Project Manager capabilities within Russia Moscow, we achieve $4.72 in revenue impact. As we refine our approach, this Sales Report will serve as the benchmark for all future project leadership initiatives across our global enterprise – proving that in the heart of Russia Moscow, exceptional Project Management is synonymous with sales excellence.</w:t>
      </w:r>
    </w:p>
    <w:p>
      <w:pPr>
        <w:pStyle w:val="BodyText"/>
      </w:pPr>
      <w:r>
        <w:rPr>
          <w:bCs/>
          <w:b/>
        </w:rPr>
        <w:t xml:space="preserve">Prepared By:</w:t>
      </w:r>
      <w:r>
        <w:t xml:space="preserve"> </w:t>
      </w:r>
      <w:r>
        <w:t xml:space="preserve">Global Sales Strategy Office</w:t>
      </w:r>
      <w:r>
        <w:br/>
      </w:r>
      <w:r>
        <w:rPr>
          <w:bCs/>
          <w:b/>
        </w:rPr>
        <w:t xml:space="preserve">Date:</w:t>
      </w:r>
      <w:r>
        <w:t xml:space="preserve"> </w:t>
      </w:r>
      <w:r>
        <w:t xml:space="preserve">October 26, 2023</w:t>
      </w:r>
      <w:r>
        <w:br/>
      </w:r>
      <w:r>
        <w:rPr>
          <w:bCs/>
          <w:b/>
        </w:rPr>
        <w:t xml:space="preserve">Confidential: Russia Moscow Sales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Project Manager Performance in Russia Moscow</dc:title>
  <dc:creator/>
  <dc:language>en</dc:language>
  <cp:keywords/>
  <dcterms:created xsi:type="dcterms:W3CDTF">2025-12-13T00:53:09Z</dcterms:created>
  <dcterms:modified xsi:type="dcterms:W3CDTF">2025-12-13T00:53:09Z</dcterms:modified>
</cp:coreProperties>
</file>

<file path=docProps/custom.xml><?xml version="1.0" encoding="utf-8"?>
<Properties xmlns="http://schemas.openxmlformats.org/officeDocument/2006/custom-properties" xmlns:vt="http://schemas.openxmlformats.org/officeDocument/2006/docPropsVTypes"/>
</file>