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231480f805b9762a68df9e68a9d5fc335d4983b"/>
    <w:p>
      <w:pPr>
        <w:pStyle w:val="Heading1"/>
      </w:pPr>
      <w:r>
        <w:t xml:space="preserve">SALES REPORT: PROJECT MANAGER PERFORMANCE IN SAUDI ARABIA RIYADH MARKET</w:t>
      </w:r>
    </w:p>
    <w:bookmarkStart w:id="20" w:name="executive-summary"/>
    <w:p>
      <w:pPr>
        <w:pStyle w:val="Heading2"/>
      </w:pPr>
      <w:r>
        <w:t xml:space="preserve">Executive Summary</w:t>
      </w:r>
    </w:p>
    <w:p>
      <w:pPr>
        <w:pStyle w:val="FirstParagraph"/>
      </w:pPr>
      <w:r>
        <w:t xml:space="preserve">This comprehensive Sales Report details the performance of our dedicated Project Manager within the dynamic business landscape of Saudi Arabia Riyadh. As a critical role driving revenue growth in one of MENA's most strategic markets, this document analyzes achievements, market positioning, and future opportunities for our Project Manager who has been instrumental in securing high-value contracts across Riyadh's rapidly evolving infrastructure and technology sectors. The findings confirm that strategic execution by our Project Manager has positioned us as a preferred vendor for major projects in Saudi Arabia Riyadh.</w:t>
      </w:r>
    </w:p>
    <w:bookmarkEnd w:id="20"/>
    <w:bookmarkStart w:id="21" w:name="X337c32dd9ff15ccd8aef6fa9dcc64fcfef98bb8"/>
    <w:p>
      <w:pPr>
        <w:pStyle w:val="Heading2"/>
      </w:pPr>
      <w:r>
        <w:t xml:space="preserve">Market Context: Saudi Arabia Riyadh as a Growth Engine</w:t>
      </w:r>
    </w:p>
    <w:p>
      <w:pPr>
        <w:pStyle w:val="FirstParagraph"/>
      </w:pPr>
      <w:r>
        <w:t xml:space="preserve">Riyadh, the capital city of Saudi Arabia, serves as the epicenter of Vision 2030 initiatives where government and private sector investments exceed $1.5 trillion in infrastructure development. This Sales Report highlights how our Project Manager has capitalized on this momentum by aligning sales strategies with Riyadh's priority sectors: smart cities (NEOM, Qiddiya), renewable energy, and digital transformation. The Saudi Arabia Riyadh market represents 42% of the kingdom's total commercial expenditure, making it imperative for our Project Manager to maintain localized expertise in both technical delivery and cultural nuances.</w:t>
      </w:r>
    </w:p>
    <w:bookmarkEnd w:id="21"/>
    <w:bookmarkStart w:id="22" w:name="key-sales-performance-metrics"/>
    <w:p>
      <w:pPr>
        <w:pStyle w:val="Heading2"/>
      </w:pPr>
      <w:r>
        <w:t xml:space="preserve">Key Sales Performance Metrics</w:t>
      </w:r>
    </w:p>
    <w:p>
      <w:pPr>
        <w:pStyle w:val="FirstParagraph"/>
      </w:pPr>
      <w:r>
        <w:t xml:space="preserve">KPI</w:t>
      </w:r>
    </w:p>
    <w:p>
      <w:pPr>
        <w:pStyle w:val="BodyText"/>
      </w:pPr>
      <w:r>
        <w:t xml:space="preserve">Q1 2023</w:t>
      </w:r>
    </w:p>
    <w:p>
      <w:pPr>
        <w:pStyle w:val="BodyText"/>
      </w:pPr>
      <w:r>
        <w:t xml:space="preserve">Q1 2024 (Current)</w:t>
      </w:r>
    </w:p>
    <w:p>
      <w:pPr>
        <w:pStyle w:val="BodyText"/>
      </w:pPr>
      <w:r>
        <w:t xml:space="preserve">YoY Growth</w:t>
      </w:r>
    </w:p>
    <w:p>
      <w:pPr>
        <w:pStyle w:val="BodyText"/>
      </w:pPr>
      <w:r>
        <w:t xml:space="preserve">Total Contracts Secured</w:t>
      </w:r>
    </w:p>
    <w:p>
      <w:pPr>
        <w:pStyle w:val="BodyText"/>
      </w:pPr>
      <w:r>
        <w:t xml:space="preserve">SAR 8.5M</w:t>
      </w:r>
    </w:p>
    <w:p>
      <w:pPr>
        <w:pStyle w:val="BodyText"/>
      </w:pPr>
      <w:r>
        <w:t xml:space="preserve">SAR 17.3M</w:t>
      </w:r>
    </w:p>
    <w:p>
      <w:pPr>
        <w:pStyle w:val="BodyText"/>
      </w:pPr>
      <w:r>
        <w:t xml:space="preserve">+103%</w:t>
      </w:r>
    </w:p>
    <w:p>
      <w:pPr>
        <w:pStyle w:val="BodyText"/>
      </w:pPr>
      <w:r>
        <w:t xml:space="preserve">Client Acquisition Rate</w:t>
      </w:r>
    </w:p>
    <w:p>
      <w:pPr>
        <w:pStyle w:val="BodyText"/>
      </w:pPr>
      <w:r>
        <w:t xml:space="preserve">4 New Clients</w:t>
      </w:r>
    </w:p>
    <w:p>
      <w:pPr>
        <w:pStyle w:val="BodyText"/>
      </w:pPr>
      <w:r>
        <w:t xml:space="preserve">9 New Clients</w:t>
      </w:r>
    </w:p>
    <w:p>
      <w:pPr>
        <w:pStyle w:val="BodyText"/>
      </w:pPr>
      <w:r>
        <w:t xml:space="preserve">+125%</w:t>
      </w:r>
    </w:p>
    <w:p>
      <w:pPr>
        <w:pStyle w:val="BodyText"/>
      </w:pPr>
      <w:r>
        <w:t xml:space="preserve">Riyadh-Specific Portfolio Growth (Q1 2024)</w:t>
      </w:r>
    </w:p>
    <w:p>
      <w:pPr>
        <w:pStyle w:val="BodyText"/>
      </w:pPr>
      <w:r>
        <w:t xml:space="preserve">Royal Commission Projects</w:t>
      </w:r>
    </w:p>
    <w:p>
      <w:pPr>
        <w:pStyle w:val="BodyText"/>
      </w:pPr>
      <w:r>
        <w:t xml:space="preserve">0</w:t>
      </w:r>
    </w:p>
    <w:p>
      <w:pPr>
        <w:pStyle w:val="BodyText"/>
      </w:pPr>
      <w:r>
        <w:t xml:space="preserve">3 Contracts</w:t>
      </w:r>
    </w:p>
    <w:p>
      <w:pPr>
        <w:pStyle w:val="BodyText"/>
      </w:pPr>
      <w:r>
        <w:t xml:space="preserve">100% Success Rate</w:t>
      </w:r>
    </w:p>
    <w:p>
      <w:pPr>
        <w:pStyle w:val="BodyText"/>
      </w:pPr>
      <w:r>
        <w:t xml:space="preserve">Digital Transformation Deals</w:t>
      </w:r>
    </w:p>
    <w:p>
      <w:pPr>
        <w:pStyle w:val="BodyText"/>
      </w:pPr>
      <w:r>
        <w:t xml:space="preserve">SAR 2.1M</w:t>
      </w:r>
    </w:p>
    <w:p>
      <w:pPr>
        <w:pStyle w:val="BodyText"/>
      </w:pPr>
      <w:r>
        <w:t xml:space="preserve">&lt;</w:t>
      </w:r>
    </w:p>
    <w:p>
      <w:pPr>
        <w:pStyle w:val="BodyText"/>
      </w:pPr>
      <w:r>
        <w:t xml:space="preserve">SAR 9.8M</w:t>
      </w:r>
    </w:p>
    <w:p>
      <w:pPr>
        <w:pStyle w:val="BodyText"/>
      </w:pPr>
      <w:r>
        <w:t xml:space="preserve">The Sales Report demonstrates that our Project Manager has achieved extraordinary results in Saudi Arabia Riyadh, particularly through the successful closure of three major Royal Commission projects including a $5.2M smart city IoT integration contract for Riyadh Metro Phase 3. This achievement required deep understanding of Saudi regulatory frameworks (e.g., SBC, NCC) and cultural protocols – areas where our Project Manager's local expertise proved decisive.</w:t>
      </w:r>
    </w:p>
    <w:bookmarkEnd w:id="22"/>
    <w:bookmarkStart w:id="23" w:name="strategic-sales-approach-in-riyadh"/>
    <w:p>
      <w:pPr>
        <w:pStyle w:val="Heading2"/>
      </w:pPr>
      <w:r>
        <w:t xml:space="preserve">Strategic Sales Approach in Riyadh</w:t>
      </w:r>
    </w:p>
    <w:p>
      <w:pPr>
        <w:pStyle w:val="FirstParagraph"/>
      </w:pPr>
      <w:r>
        <w:t xml:space="preserve">Unlike generic sales strategies, this Project Manager implemented a hyper-localized methodology for Saudi Arabia Riyadh market penetration. The approach included:</w:t>
      </w:r>
    </w:p>
    <w:p>
      <w:pPr>
        <w:numPr>
          <w:ilvl w:val="0"/>
          <w:numId w:val="1001"/>
        </w:numPr>
        <w:pStyle w:val="Compact"/>
      </w:pPr>
      <w:r>
        <w:rPr>
          <w:bCs/>
          <w:b/>
        </w:rPr>
        <w:t xml:space="preserve">Cultural Intelligence Integration:</w:t>
      </w:r>
      <w:r>
        <w:t xml:space="preserve"> </w:t>
      </w:r>
      <w:r>
        <w:t xml:space="preserve">Hosting weekly 'Majlis' sessions with key decision-makers at Ritz-Carlton Riyadh to build trust beyond transactional relationships</w:t>
      </w:r>
    </w:p>
    <w:p>
      <w:pPr>
        <w:numPr>
          <w:ilvl w:val="0"/>
          <w:numId w:val="1001"/>
        </w:numPr>
        <w:pStyle w:val="Compact"/>
      </w:pPr>
      <w:r>
        <w:rPr>
          <w:bCs/>
          <w:b/>
        </w:rPr>
        <w:t xml:space="preserve">Vision 2030 Alignment:</w:t>
      </w:r>
      <w:r>
        <w:t xml:space="preserve"> </w:t>
      </w:r>
      <w:r>
        <w:t xml:space="preserve">Tailoring proposals to directly support Saudi Arabia's National Transformation Program (NTP) pillars, particularly in education technology and sustainable infrastructure</w:t>
      </w:r>
    </w:p>
    <w:p>
      <w:pPr>
        <w:numPr>
          <w:ilvl w:val="0"/>
          <w:numId w:val="1001"/>
        </w:numPr>
        <w:pStyle w:val="Compact"/>
      </w:pPr>
      <w:r>
        <w:rPr>
          <w:bCs/>
          <w:b/>
        </w:rPr>
        <w:t xml:space="preserve">Local Partner Ecosystem:</w:t>
      </w:r>
      <w:r>
        <w:t xml:space="preserve"> </w:t>
      </w:r>
      <w:r>
        <w:t xml:space="preserve">Forming strategic alliances with Saudi-based firms like Almabani Construction and STC for joint bidding on municipal projects</w:t>
      </w:r>
    </w:p>
    <w:p>
      <w:pPr>
        <w:pStyle w:val="FirstParagraph"/>
      </w:pPr>
      <w:r>
        <w:t xml:space="preserve">This localized strategy, executed by our Project Manager, resulted in 78% of new business originating from referrals within Riyadh's corporate network – a metric significantly above the industry average of 45% in Saudi Arabia.</w:t>
      </w:r>
    </w:p>
    <w:bookmarkEnd w:id="23"/>
    <w:bookmarkStart w:id="24" w:name="challenges-overcome-the-riyadh-context"/>
    <w:p>
      <w:pPr>
        <w:pStyle w:val="Heading2"/>
      </w:pPr>
      <w:r>
        <w:t xml:space="preserve">Challenges Overcome: The Riyadh Context</w:t>
      </w:r>
    </w:p>
    <w:p>
      <w:pPr>
        <w:pStyle w:val="FirstParagraph"/>
      </w:pPr>
      <w:r>
        <w:t xml:space="preserve">As detailed in this Sales Report, our Project Manager faced unique challenges specific to Saudi Arabia Riyadh operations:</w:t>
      </w:r>
    </w:p>
    <w:p>
      <w:pPr>
        <w:numPr>
          <w:ilvl w:val="0"/>
          <w:numId w:val="1002"/>
        </w:numPr>
        <w:pStyle w:val="Compact"/>
      </w:pPr>
      <w:r>
        <w:rPr>
          <w:bCs/>
          <w:b/>
        </w:rPr>
        <w:t xml:space="preserve">Cultural Nuances:</w:t>
      </w:r>
      <w:r>
        <w:t xml:space="preserve"> </w:t>
      </w:r>
      <w:r>
        <w:t xml:space="preserve">Successfully navigated the preference for relationship-based contracting by adapting sales cycles from 6 weeks (standard) to 10-12 weeks with personalized follow-up schedules</w:t>
      </w:r>
    </w:p>
    <w:p>
      <w:pPr>
        <w:numPr>
          <w:ilvl w:val="0"/>
          <w:numId w:val="1002"/>
        </w:numPr>
        <w:pStyle w:val="Compact"/>
      </w:pPr>
      <w:r>
        <w:rPr>
          <w:bCs/>
          <w:b/>
        </w:rPr>
        <w:t xml:space="preserve">Regulatory Complexity:</w:t>
      </w:r>
      <w:r>
        <w:t xml:space="preserve"> </w:t>
      </w:r>
      <w:r>
        <w:t xml:space="preserve">Mastered the Ministry of Commerce's new e-contracting system (SARF), reducing proposal processing time by 40% for Riyadh-based clients</w:t>
      </w:r>
    </w:p>
    <w:p>
      <w:pPr>
        <w:numPr>
          <w:ilvl w:val="0"/>
          <w:numId w:val="1002"/>
        </w:numPr>
        <w:pStyle w:val="Compact"/>
      </w:pPr>
      <w:r>
        <w:rPr>
          <w:bCs/>
          <w:b/>
        </w:rPr>
        <w:t xml:space="preserve">Competitive Landscape:</w:t>
      </w:r>
      <w:r>
        <w:t xml:space="preserve"> </w:t>
      </w:r>
      <w:r>
        <w:t xml:space="preserve">Outmaneuvered European competitors in three major tenders through superior understanding of local procurement timelines and tender requirements</w:t>
      </w:r>
    </w:p>
    <w:p>
      <w:pPr>
        <w:pStyle w:val="FirstParagraph"/>
      </w:pPr>
      <w:r>
        <w:t xml:space="preserve">The Project Manager's ability to translate these challenges into competitive advantages was pivotal. For instance, during the $12M Riyadh Airport Digital Twin project bid, their knowledge of Saudi Arabia's requirement for 95% local content in technology contracts directly shaped our proposal strategy.</w:t>
      </w:r>
    </w:p>
    <w:bookmarkEnd w:id="24"/>
    <w:bookmarkStart w:id="25" w:name="market-expansion-opportunities"/>
    <w:p>
      <w:pPr>
        <w:pStyle w:val="Heading2"/>
      </w:pPr>
      <w:r>
        <w:t xml:space="preserve">Market Expansion Opportunities</w:t>
      </w:r>
    </w:p>
    <w:p>
      <w:pPr>
        <w:pStyle w:val="FirstParagraph"/>
      </w:pPr>
      <w:r>
        <w:t xml:space="preserve">This Sales Report identifies three high-potential avenues for our Project Manager to leverage in Saudi Arabia Riyadh:</w:t>
      </w:r>
    </w:p>
    <w:p>
      <w:pPr>
        <w:numPr>
          <w:ilvl w:val="0"/>
          <w:numId w:val="1003"/>
        </w:numPr>
        <w:pStyle w:val="Compact"/>
      </w:pPr>
      <w:r>
        <w:rPr>
          <w:bCs/>
          <w:b/>
        </w:rPr>
        <w:t xml:space="preserve">Healthcare Digitization:</w:t>
      </w:r>
      <w:r>
        <w:t xml:space="preserve"> </w:t>
      </w:r>
      <w:r>
        <w:t xml:space="preserve">With Riyadh's new healthcare investment of SAR 10B, the Project Manager has already initiated discussions with King Abdullah Medical City</w:t>
      </w:r>
    </w:p>
    <w:p>
      <w:pPr>
        <w:numPr>
          <w:ilvl w:val="0"/>
          <w:numId w:val="1003"/>
        </w:numPr>
        <w:pStyle w:val="Compact"/>
      </w:pPr>
      <w:r>
        <w:rPr>
          <w:bCs/>
          <w:b/>
        </w:rPr>
        <w:t xml:space="preserve">SME Support Programs:</w:t>
      </w:r>
      <w:r>
        <w:t xml:space="preserve"> </w:t>
      </w:r>
      <w:r>
        <w:t xml:space="preserve">Capitalizing on SDAIA's SME digital acceleration fund targeting 35,000 local businesses in Riyadh</w:t>
      </w:r>
    </w:p>
    <w:p>
      <w:pPr>
        <w:numPr>
          <w:ilvl w:val="0"/>
          <w:numId w:val="1003"/>
        </w:numPr>
        <w:pStyle w:val="Compact"/>
      </w:pPr>
      <w:r>
        <w:rPr>
          <w:bCs/>
          <w:b/>
        </w:rPr>
        <w:t xml:space="preserve">Green Tech Partnerships:</w:t>
      </w:r>
      <w:r>
        <w:t xml:space="preserve"> </w:t>
      </w:r>
      <w:r>
        <w:t xml:space="preserve">Aligning with Saudi Green Initiative to deliver solar-powered smart building solutions for new mixed-use developments</w:t>
      </w:r>
    </w:p>
    <w:p>
      <w:pPr>
        <w:pStyle w:val="FirstParagraph"/>
      </w:pPr>
      <w:r>
        <w:t xml:space="preserve">The Project Manager has already secured initial discussions with three major stakeholders in these sectors, positioning us for 30% revenue growth in the healthcare vertical by Q4 2024.</w:t>
      </w:r>
    </w:p>
    <w:bookmarkEnd w:id="25"/>
    <w:bookmarkStart w:id="26" w:name="Xc83b8d969e7a1fb5ebf27de5049903324406cea"/>
    <w:p>
      <w:pPr>
        <w:pStyle w:val="Heading2"/>
      </w:pPr>
      <w:r>
        <w:t xml:space="preserve">Conclusion: Strategic Imperative for Saudi Arabia Riyadh Leadership</w:t>
      </w:r>
    </w:p>
    <w:p>
      <w:pPr>
        <w:pStyle w:val="FirstParagraph"/>
      </w:pPr>
      <w:r>
        <w:t xml:space="preserve">This Sales Report unequivocally demonstrates that our Project Manager has become the cornerstone of our commercial success in Saudi Arabia Riyadh. The role has evolved beyond traditional sales functions to strategic market leadership – directly contributing to 68% of all revenue growth in KSA during Q1 2024. As Riyadh continues its transformation into a global business hub, the Project Manager's deep understanding of local market dynamics, regulatory environment, and cultural protocols is not merely advantageous but essential for sustainable growth.</w:t>
      </w:r>
    </w:p>
    <w:p>
      <w:pPr>
        <w:pStyle w:val="BodyText"/>
      </w:pPr>
      <w:r>
        <w:t xml:space="preserve">Recommendations from this Sales Report include: (1) Elevating the Project Manager to Regional Sales Director for KSA in Q3 2024, (2) Allocating additional budget for Riyadh-specific market intelligence tools, and (3) Establishing a dedicated 'Vision 2030' sales team within our Saudi Arabia operations. The data confirms that continued investment in this role will yield exponential returns as Saudi Arabia Riyadh remains the most promising commercial frontier in the Middle East.</w:t>
      </w:r>
    </w:p>
    <w:p>
      <w:pPr>
        <w:pStyle w:val="BodyText"/>
      </w:pPr>
      <w:r>
        <w:t xml:space="preserve">For any inquiries regarding this Sales Report or to discuss how our Project Manager can drive similar success for your organization in Saudi Arabia Riyadh, contact our KSA Commercial Leadership team immediately. The future of MENA business is being written in Riyadh – and our Project Manager is writing it for 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Saudi Arabia Riyadh</dc:title>
  <dc:creator/>
  <dc:language>en</dc:language>
  <cp:keywords/>
  <dcterms:created xsi:type="dcterms:W3CDTF">2026-07-23T07:37:06Z</dcterms:created>
  <dcterms:modified xsi:type="dcterms:W3CDTF">2026-07-23T07:37:06Z</dcterms:modified>
</cp:coreProperties>
</file>

<file path=docProps/custom.xml><?xml version="1.0" encoding="utf-8"?>
<Properties xmlns="http://schemas.openxmlformats.org/officeDocument/2006/custom-properties" xmlns:vt="http://schemas.openxmlformats.org/officeDocument/2006/docPropsVTypes"/>
</file>