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804ef63b59c274480d52194b17d8c0c4b23b09"/>
    <w:p>
      <w:pPr>
        <w:pStyle w:val="Heading1"/>
      </w:pPr>
      <w:r>
        <w:t xml:space="preserve">Sales Report: Strategic Performance of Project Managers in United Arab Emirates Abu Dhabi</w:t>
      </w:r>
    </w:p>
    <w:p>
      <w:pPr>
        <w:pStyle w:val="FirstParagraph"/>
      </w:pPr>
      <w:r>
        <w:rPr>
          <w:bCs/>
          <w:b/>
        </w:rPr>
        <w:t xml:space="preserve">Prepared For:</w:t>
      </w:r>
      <w:r>
        <w:t xml:space="preserve"> </w:t>
      </w:r>
      <w:r>
        <w:t xml:space="preserve">Senior Leadership, UAE Business Development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role of Project Managers in driving revenue growth and client satisfaction across our operations in United Arab Emirates Abu Dhabi. In a market defined by ambitious infrastructure development, high-stakes tourism projects, and alignment with UAE Vision 2030, our Project Managers have directly contributed to a 15.8% year-over-year increase in sales conversions within Abu Dhabi. Their strategic execution of client delivery—adhering to stringent Emirati standards while optimizing timelines—has positioned us as a preferred partner for major developments across the emirate, including Masdar City expansions and Yas Island hospitality projects.</w:t>
      </w:r>
    </w:p>
    <w:bookmarkEnd w:id="20"/>
    <w:bookmarkStart w:id="21" w:name="Xbb910a90188ab30b320011a73625ebd7d07edd1"/>
    <w:p>
      <w:pPr>
        <w:pStyle w:val="Heading2"/>
      </w:pPr>
      <w:r>
        <w:t xml:space="preserve">II. Project Manager Impact on Sales Performance</w:t>
      </w:r>
    </w:p>
    <w:p>
      <w:pPr>
        <w:pStyle w:val="FirstParagraph"/>
      </w:pPr>
      <w:r>
        <w:t xml:space="preserve">The integration of highly skilled Project Managers into our sales cycle has transformed client acquisition outcomes in Abu Dhabi. Unlike traditional sales models, our approach embeds the Project Manager early—during proposal development—to ensure technical feasibility and alignment with UAE regulations (e.g., Abu Dhabi Civil Defense standards, Estidama sustainability protocols). This proactive collaboration has reduced post-sale scope disputes by 32% and accelerated contract finalization by an average of 18 business days.</w:t>
      </w:r>
    </w:p>
    <w:p>
      <w:pPr>
        <w:pStyle w:val="BodyText"/>
      </w:pPr>
      <w:r>
        <w:t xml:space="preserve">Key metrics demonstrating this impact include:</w:t>
      </w:r>
    </w:p>
    <w:p>
      <w:pPr>
        <w:numPr>
          <w:ilvl w:val="0"/>
          <w:numId w:val="1001"/>
        </w:numPr>
        <w:pStyle w:val="Compact"/>
      </w:pPr>
      <w:r>
        <w:rPr>
          <w:bCs/>
          <w:b/>
        </w:rPr>
        <w:t xml:space="preserve">Client Retention Rate:</w:t>
      </w:r>
      <w:r>
        <w:t xml:space="preserve"> </w:t>
      </w:r>
      <w:r>
        <w:t xml:space="preserve">94% in Abu Dhabi (vs. national average of 82%), directly attributed to Project Managers' ability to manage expectations and deliver on promises.</w:t>
      </w:r>
    </w:p>
    <w:p>
      <w:pPr>
        <w:numPr>
          <w:ilvl w:val="0"/>
          <w:numId w:val="1001"/>
        </w:numPr>
        <w:pStyle w:val="Compact"/>
      </w:pPr>
      <w:r>
        <w:rPr>
          <w:bCs/>
          <w:b/>
        </w:rPr>
        <w:t xml:space="preserve">Sales Cycle Reduction:</w:t>
      </w:r>
      <w:r>
        <w:t xml:space="preserve"> </w:t>
      </w:r>
      <w:r>
        <w:t xml:space="preserve">From 115 days (Q3 2022) to 97 days (Q3 2023), driven by Project Managers’ early risk assessment during sales discussions.</w:t>
      </w:r>
    </w:p>
    <w:p>
      <w:pPr>
        <w:numPr>
          <w:ilvl w:val="0"/>
          <w:numId w:val="1001"/>
        </w:numPr>
        <w:pStyle w:val="Compact"/>
      </w:pPr>
      <w:r>
        <w:rPr>
          <w:bCs/>
          <w:b/>
        </w:rPr>
        <w:t xml:space="preserve">Lifetime Value of Abu Dhabi Clients:</w:t>
      </w:r>
      <w:r>
        <w:t xml:space="preserve"> </w:t>
      </w:r>
      <w:r>
        <w:t xml:space="preserve">Increased by 19% as Project Managers identify upsell opportunities during project delivery (e.g., smart infrastructure add-ons for hotel clients).</w:t>
      </w:r>
    </w:p>
    <w:bookmarkEnd w:id="21"/>
    <w:bookmarkStart w:id="22" w:name="iii.-abu-dhabi-specific-sales-successes"/>
    <w:p>
      <w:pPr>
        <w:pStyle w:val="Heading2"/>
      </w:pPr>
      <w:r>
        <w:t xml:space="preserve">III. Abu Dhabi-Specific Sales Successes</w:t>
      </w:r>
    </w:p>
    <w:p>
      <w:pPr>
        <w:pStyle w:val="FirstParagraph"/>
      </w:pPr>
      <w:r>
        <w:t xml:space="preserve">The United Arab Emirates Abu Dhabi market demands hyper-localized strategies. Our Project Managers have excelled by leveraging deep regional knowledge:</w:t>
      </w:r>
    </w:p>
    <w:p>
      <w:pPr>
        <w:pStyle w:val="BodyText"/>
      </w:pPr>
      <w:r>
        <w:rPr>
          <w:bCs/>
          <w:b/>
        </w:rPr>
        <w:t xml:space="preserve">Case Study: Yas Island Hospitality Expansion</w:t>
      </w:r>
      <w:r>
        <w:br/>
      </w:r>
      <w:r>
        <w:t xml:space="preserve">A major UAE-based hospitality group required a phased tech integration project for its new luxury resort. The assigned Project Manager—familiar with Abu Dhabi’s tourism sector dynamics and Emirate-specific visa/compliance frameworks—secured the $4.2M contract by:</w:t>
      </w:r>
    </w:p>
    <w:p>
      <w:pPr>
        <w:numPr>
          <w:ilvl w:val="0"/>
          <w:numId w:val="1002"/>
        </w:numPr>
        <w:pStyle w:val="Compact"/>
      </w:pPr>
      <w:r>
        <w:t xml:space="preserve">Co-developing a proposal addressing Abu Dhabi Tourism Authority (ADTA) sustainability mandates.</w:t>
      </w:r>
    </w:p>
    <w:p>
      <w:pPr>
        <w:numPr>
          <w:ilvl w:val="0"/>
          <w:numId w:val="1002"/>
        </w:numPr>
        <w:pStyle w:val="Compact"/>
      </w:pPr>
      <w:r>
        <w:t xml:space="preserve">Aligning project milestones with Ramadan and UAE National Day planning cycles to avoid service disruption.</w:t>
      </w:r>
    </w:p>
    <w:p>
      <w:pPr>
        <w:numPr>
          <w:ilvl w:val="0"/>
          <w:numId w:val="1002"/>
        </w:numPr>
        <w:pStyle w:val="Compact"/>
      </w:pPr>
      <w:r>
        <w:t xml:space="preserve">Facilitating seamless handoffs between local contractors (e.g., Al Jaber Group) and international tech vendors.</w:t>
      </w:r>
    </w:p>
    <w:p>
      <w:pPr>
        <w:pStyle w:val="FirstParagraph"/>
      </w:pPr>
      <w:r>
        <w:t xml:space="preserve">This project contributed $1.8M in Q3 sales, with the client already committing to Phase 2 due to exceptional delivery.</w:t>
      </w:r>
    </w:p>
    <w:bookmarkEnd w:id="22"/>
    <w:bookmarkStart w:id="23" w:name="X9186e7109af45f233809126f7fb482f46149980"/>
    <w:p>
      <w:pPr>
        <w:pStyle w:val="Heading2"/>
      </w:pPr>
      <w:r>
        <w:t xml:space="preserve">IV. Key Performance Indicators: Project Manager Metrics</w:t>
      </w:r>
    </w:p>
    <w:p>
      <w:pPr>
        <w:pStyle w:val="FirstParagraph"/>
      </w:pPr>
      <w:r>
        <w:t xml:space="preserve">KPI</w:t>
      </w:r>
    </w:p>
    <w:p>
      <w:pPr>
        <w:pStyle w:val="BodyText"/>
      </w:pPr>
      <w:r>
        <w:t xml:space="preserve">Q3 2023 (Abu Dhabi)</w:t>
      </w:r>
    </w:p>
    <w:p>
      <w:pPr>
        <w:pStyle w:val="BodyText"/>
      </w:pPr>
      <w:r>
        <w:t xml:space="preserve">Target</w:t>
      </w:r>
    </w:p>
    <w:p>
      <w:pPr>
        <w:pStyle w:val="BodyText"/>
      </w:pPr>
      <w:r>
        <w:t xml:space="preserve">Year-on-Year Change</w:t>
      </w:r>
    </w:p>
    <w:p>
      <w:pPr>
        <w:pStyle w:val="BodyText"/>
      </w:pPr>
      <w:r>
        <w:t xml:space="preserve">Sales Conversion Rate from Proposal to Contract</w:t>
      </w:r>
    </w:p>
    <w:p>
      <w:pPr>
        <w:pStyle w:val="BodyText"/>
      </w:pPr>
      <w:r>
        <w:t xml:space="preserve">78%</w:t>
      </w:r>
    </w:p>
    <w:p>
      <w:pPr>
        <w:pStyle w:val="BodyText"/>
      </w:pPr>
      <w:r>
        <w:t xml:space="preserve">70%</w:t>
      </w:r>
    </w:p>
    <w:p>
      <w:pPr>
        <w:pStyle w:val="BodyText"/>
      </w:pPr>
      <w:r>
        <w:t xml:space="preserve">+12.5%</w:t>
      </w:r>
    </w:p>
    <w:p>
      <w:pPr>
        <w:pStyle w:val="BodyText"/>
      </w:pPr>
      <w:r>
        <w:t xml:space="preserve">Average Client Satisfaction (CSAT) Score</w:t>
      </w:r>
    </w:p>
    <w:p>
      <w:pPr>
        <w:pStyle w:val="BodyText"/>
      </w:pPr>
      <w:r>
        <w:t xml:space="preserve">9.2/10</w:t>
      </w:r>
    </w:p>
    <w:p>
      <w:pPr>
        <w:pStyle w:val="BodyText"/>
      </w:pPr>
      <w:r>
        <w:t xml:space="preserve">8.5/10</w:t>
      </w:r>
    </w:p>
    <w:p>
      <w:pPr>
        <w:pStyle w:val="BodyText"/>
      </w:pPr>
      <w:r>
        <w:t xml:space="preserve">+7.6%</w:t>
      </w:r>
    </w:p>
    <w:p>
      <w:pPr>
        <w:pStyle w:val="BodyText"/>
      </w:pPr>
      <w:r>
        <w:t xml:space="preserve">On-Time Project Delivery Rate</w:t>
      </w:r>
    </w:p>
    <w:p>
      <w:pPr>
        <w:pStyle w:val="BodyText"/>
      </w:pPr>
      <w:r>
        <w:t xml:space="preserve">89%</w:t>
      </w:r>
    </w:p>
    <w:p>
      <w:pPr>
        <w:pStyle w:val="BodyText"/>
      </w:pPr>
      <w:r>
        <w:br/>
      </w:r>
    </w:p>
    <w:bookmarkEnd w:id="23"/>
    <w:bookmarkStart w:id="24" w:name="X22866a1fd9d96e21294a20d1ae33619c2c2c2fb"/>
    <w:p>
      <w:pPr>
        <w:pStyle w:val="Heading2"/>
      </w:pPr>
      <w:r>
        <w:t xml:space="preserve">V. Challenges &amp; Regional Adaptations in Abu Dhabi</w:t>
      </w:r>
    </w:p>
    <w:p>
      <w:pPr>
        <w:pStyle w:val="FirstParagraph"/>
      </w:pPr>
      <w:r>
        <w:t xml:space="preserve">Navigating the United Arab Emirates Abu Dhabi landscape presents unique challenges. Project Managers have demonstrated exceptional agility in addressing:</w:t>
      </w:r>
    </w:p>
    <w:p>
      <w:pPr>
        <w:numPr>
          <w:ilvl w:val="0"/>
          <w:numId w:val="1003"/>
        </w:numPr>
        <w:pStyle w:val="Compact"/>
      </w:pPr>
      <w:r>
        <w:rPr>
          <w:bCs/>
          <w:b/>
        </w:rPr>
        <w:t xml:space="preserve">Regulatory Complexity:</w:t>
      </w:r>
      <w:r>
        <w:t xml:space="preserve"> </w:t>
      </w:r>
      <w:r>
        <w:t xml:space="preserve">Adapting to rapid changes in Abu Dhabi’s commercial licensing (e.g., new DIFC regulations) through real-time knowledge sharing with legal teams.</w:t>
      </w:r>
    </w:p>
    <w:p>
      <w:pPr>
        <w:numPr>
          <w:ilvl w:val="0"/>
          <w:numId w:val="1003"/>
        </w:numPr>
        <w:pStyle w:val="Compact"/>
      </w:pPr>
      <w:r>
        <w:rPr>
          <w:bCs/>
          <w:b/>
        </w:rPr>
        <w:t xml:space="preserve">Cultural Nuances:</w:t>
      </w:r>
      <w:r>
        <w:t xml:space="preserve"> </w:t>
      </w:r>
      <w:r>
        <w:t xml:space="preserve">Implementing feedback loops respecting UAE business etiquette (e.g., scheduling meetings post-lunch during Ramadan, formal written approvals before verbal agreements).</w:t>
      </w:r>
    </w:p>
    <w:p>
      <w:pPr>
        <w:numPr>
          <w:ilvl w:val="0"/>
          <w:numId w:val="1003"/>
        </w:numPr>
        <w:pStyle w:val="Compact"/>
      </w:pPr>
      <w:r>
        <w:rPr>
          <w:bCs/>
          <w:b/>
        </w:rPr>
        <w:t xml:space="preserve">Supply Chain Volatility:</w:t>
      </w:r>
      <w:r>
        <w:t xml:space="preserve"> </w:t>
      </w:r>
      <w:r>
        <w:t xml:space="preserve">Mitigating port delays at Khalifa Port by partnering with Abu Dhabi-based logistics firms for critical equipment.</w:t>
      </w:r>
    </w:p>
    <w:p>
      <w:pPr>
        <w:pStyle w:val="FirstParagraph"/>
      </w:pPr>
      <w:r>
        <w:t xml:space="preserve">A notable example involved a healthcare project where delayed medical equipment delivery was resolved in 48 hours by leveraging the Project Manager’s network of local vendors approved under Abu Dhabi Health Services (SEHA) guidelines—preventing a potential $250K penalty and preserving client trust.</w:t>
      </w:r>
    </w:p>
    <w:bookmarkEnd w:id="24"/>
    <w:bookmarkStart w:id="25" w:name="Xf03d4163e986a0a9ab0fa6b4c0593f0538bdba4"/>
    <w:p>
      <w:pPr>
        <w:pStyle w:val="Heading2"/>
      </w:pPr>
      <w:r>
        <w:t xml:space="preserve">VI. Strategic Recommendations for Abu Dhabi Market Growth</w:t>
      </w:r>
    </w:p>
    <w:p>
      <w:pPr>
        <w:pStyle w:val="FirstParagraph"/>
      </w:pPr>
      <w:r>
        <w:t xml:space="preserve">To sustain our sales momentum in United Arab Emirates Abu Dhabi, we recommend:</w:t>
      </w:r>
    </w:p>
    <w:p>
      <w:pPr>
        <w:numPr>
          <w:ilvl w:val="0"/>
          <w:numId w:val="1004"/>
        </w:numPr>
        <w:pStyle w:val="Compact"/>
      </w:pPr>
      <w:r>
        <w:rPr>
          <w:bCs/>
          <w:b/>
        </w:rPr>
        <w:t xml:space="preserve">Expand Project Manager Localization:</w:t>
      </w:r>
      <w:r>
        <w:t xml:space="preserve"> </w:t>
      </w:r>
      <w:r>
        <w:t xml:space="preserve">Hire 3 additional Emirati-speaking Project Managers to strengthen relationships with government entities (e.g., Tadweer, ADNOC) and accelerate tender responses.</w:t>
      </w:r>
    </w:p>
    <w:p>
      <w:pPr>
        <w:numPr>
          <w:ilvl w:val="0"/>
          <w:numId w:val="1004"/>
        </w:numPr>
        <w:pStyle w:val="Compact"/>
      </w:pPr>
      <w:r>
        <w:rPr>
          <w:bCs/>
          <w:b/>
        </w:rPr>
        <w:t xml:space="preserve">Integrate UAE-Specific Compliance into Sales Training:</w:t>
      </w:r>
      <w:r>
        <w:t xml:space="preserve"> </w:t>
      </w:r>
      <w:r>
        <w:t xml:space="preserve">Develop a mandatory module on Abu Dhabi regulatory frameworks for all sales teams—reducing proposal rejections due to compliance gaps.</w:t>
      </w:r>
    </w:p>
    <w:p>
      <w:pPr>
        <w:numPr>
          <w:ilvl w:val="0"/>
          <w:numId w:val="1004"/>
        </w:numPr>
        <w:pStyle w:val="Compact"/>
      </w:pPr>
      <w:r>
        <w:rPr>
          <w:bCs/>
          <w:b/>
        </w:rPr>
        <w:t xml:space="preserve">Leverage PM-Generated Data:</w:t>
      </w:r>
      <w:r>
        <w:t xml:space="preserve"> </w:t>
      </w:r>
      <w:r>
        <w:t xml:space="preserve">Utilize Project Manager insights from Abu Dhabi projects (e.g., common client pain points in infrastructure) to refine our sales pitch for upcoming opportunities like the Abu Dhabi Sustainable City expansion.</w:t>
      </w:r>
    </w:p>
    <w:bookmarkEnd w:id="25"/>
    <w:bookmarkStart w:id="26" w:name="vii.-conclusion"/>
    <w:p>
      <w:pPr>
        <w:pStyle w:val="Heading2"/>
      </w:pPr>
      <w:r>
        <w:t xml:space="preserve">VII. Conclusion</w:t>
      </w:r>
    </w:p>
    <w:p>
      <w:pPr>
        <w:pStyle w:val="FirstParagraph"/>
      </w:pPr>
      <w:r>
        <w:t xml:space="preserve">This Sales Report confirms that the Project Manager is no longer a back-office function but the strategic engine of revenue growth in United Arab Emirates Abu Dhabi. Their ability to bridge sales promises with operational reality—while respecting local context—is directly responsible for our 15.8% sales uplift and premium client retention in one of the world’s most dynamic markets. As Abu Dhabi accelerates under UAE Vision 2030, embedding Project Managers within the core sales strategy will be non-negotiable for securing future contracts in sectors like renewable energy (e.g., Al Dhafra Solar Plant), smart city infrastructure, and premium tourism.</w:t>
      </w:r>
    </w:p>
    <w:p>
      <w:pPr>
        <w:pStyle w:val="BodyText"/>
      </w:pPr>
      <w:r>
        <w:t xml:space="preserve">With a dedicated focus on Abu Dhabi’s unique ecosystem, our Project Managers have not only met but exceeded sales targets. Their expertise ensures that every contract signed translates into a successful delivery—reinforcing our reputation as partners who "deliver exactly as promised" in the United Arab Emirates Abu Dhabi business landscape.</w:t>
      </w:r>
    </w:p>
    <w:p>
      <w:pPr>
        <w:pStyle w:val="BodyText"/>
      </w:pPr>
      <w:r>
        <w:rPr>
          <w:bCs/>
          <w:b/>
        </w:rPr>
        <w:t xml:space="preserve">Prepared By:</w:t>
      </w:r>
      <w:r>
        <w:t xml:space="preserve"> </w:t>
      </w:r>
      <w:r>
        <w:t xml:space="preserve">Sales Strategy Division, UAE Operations</w:t>
      </w:r>
      <w:r>
        <w:br/>
      </w:r>
      <w:r>
        <w:rPr>
          <w:bCs/>
          <w:b/>
        </w:rPr>
        <w:t xml:space="preserve">Contact:</w:t>
      </w:r>
      <w:r>
        <w:t xml:space="preserve"> </w:t>
      </w:r>
      <w:r>
        <w:t xml:space="preserve">sales.strategy@company.ae | +971 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United Arab Emirates Abu Dhabi</dc:title>
  <dc:creator/>
  <dc:language>en</dc:language>
  <cp:keywords/>
  <dcterms:created xsi:type="dcterms:W3CDTF">2026-07-23T15:42:08Z</dcterms:created>
  <dcterms:modified xsi:type="dcterms:W3CDTF">2026-07-23T15:42:08Z</dcterms:modified>
</cp:coreProperties>
</file>

<file path=docProps/custom.xml><?xml version="1.0" encoding="utf-8"?>
<Properties xmlns="http://schemas.openxmlformats.org/officeDocument/2006/custom-properties" xmlns:vt="http://schemas.openxmlformats.org/officeDocument/2006/docPropsVTypes"/>
</file>