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28" w:name="X764798417f323b9aa13a04fbe31e8910338ebe1"/>
    <w:p>
      <w:pPr>
        <w:pStyle w:val="Heading1"/>
      </w:pPr>
      <w:r>
        <w:t xml:space="preserve">Comprehensive Sales Report: Psychiatrist Practice Performance Analysis - Canada Toronto Market</w:t>
      </w:r>
    </w:p>
    <w:bookmarkStart w:id="27" w:name="X218b8b80617c9236351121ef4b0fa72f41c3391"/>
    <w:p>
      <w:pPr>
        <w:pStyle w:val="Heading2"/>
      </w:pPr>
      <w:r>
        <w:t xml:space="preserve">Prepared For: Ontario Mental Health Services Leadership Team</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Healthcare Market Intelligence Division</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Sales Report provides an in-depth analysis of psychiatrist practice performance within the Toronto, Canada healthcare landscape. The data demonstrates robust growth in mental health services demand across Ontario's most populous city, with our Toronto-based psychiatrist practice achieving a 22% year-over-year increase in patient acquisition and a 15% revenue surge. This report confirms that specialized psychiatric care remains critically underserved in Canada's largest urban center, presenting significant commercial opportunity within the Canadian healthcare ecosystem. The strategic positioning of our psychiatrist services has effectively capitalized on Toronto's unique demographic and clinical needs.</w:t>
      </w:r>
    </w:p>
    <w:bookmarkEnd w:id="20"/>
    <w:bookmarkStart w:id="21" w:name="X280a09efa9da0b93d463f8141807c16504f3ebc"/>
    <w:p>
      <w:pPr>
        <w:pStyle w:val="Heading3"/>
      </w:pPr>
      <w:r>
        <w:t xml:space="preserve">II. Market Context: Toronto as Canada's Mental Health Hub</w:t>
      </w:r>
    </w:p>
    <w:p>
      <w:pPr>
        <w:pStyle w:val="FirstParagraph"/>
      </w:pPr>
      <w:r>
        <w:t xml:space="preserve">Toronto operates as Canada's primary mental health service epicenter, serving 65% of Ontario's population with a concentration of specialized providers. Current Canadian statistics reveal 1 in 5 Torontonians experience mental health challenges annually, yet psychiatrist-to-population ratios remain at 1:24,000 - far below the WHO-recommended standard of 1:8,000. This acute gap creates an ideal commercial environment for premium psychiatric services. The Canadian Mental Health Association's Toronto Chapter reports a 37% year-over-year increase in wait times for initial psychiatric consultations across provincial health networks - directly benefiting private practice physicians operating within Canada Toronto's regulatory framework.</w:t>
      </w:r>
    </w:p>
    <w:bookmarkEnd w:id="21"/>
    <w:bookmarkStart w:id="22" w:name="X08eb90b3ea12fa8d2ad639aae02b9061f323a78"/>
    <w:p>
      <w:pPr>
        <w:pStyle w:val="Heading3"/>
      </w:pPr>
      <w:r>
        <w:t xml:space="preserve">III. Sales Performance Breakdown (Q1-Q3 2023)</w:t>
      </w:r>
    </w:p>
    <w:p>
      <w:pPr>
        <w:pStyle w:val="FirstParagraph"/>
      </w:pPr>
      <w:r>
        <w:t xml:space="preserve">KPI Metric</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Growth vs. Previous Period</w:t>
      </w:r>
    </w:p>
    <w:p>
      <w:pPr>
        <w:pStyle w:val="BodyText"/>
      </w:pPr>
      <w:r>
        <w:t xml:space="preserve">New Patient Acquisitions (Canada Toronto)</w:t>
      </w:r>
    </w:p>
    <w:p>
      <w:pPr>
        <w:pStyle w:val="BodyText"/>
      </w:pPr>
      <w:r>
        <w:t xml:space="preserve">47</w:t>
      </w:r>
    </w:p>
    <w:p>
      <w:pPr>
        <w:pStyle w:val="BodyText"/>
      </w:pPr>
      <w:r>
        <w:t xml:space="preserve">58</w:t>
      </w:r>
    </w:p>
    <w:p>
      <w:pPr>
        <w:pStyle w:val="BodyText"/>
      </w:pPr>
      <w:r>
        <w:t xml:space="preserve">69</w:t>
      </w:r>
    </w:p>
    <w:p>
      <w:pPr>
        <w:pStyle w:val="BodyText"/>
      </w:pPr>
      <w:r>
        <w:t xml:space="preserve">+19% QoQ</w:t>
      </w:r>
    </w:p>
    <w:p>
      <w:pPr>
        <w:pStyle w:val="BodyText"/>
      </w:pPr>
      <w:r>
        <w:t xml:space="preserve">Total Consultations (Monthly Avg.)</w:t>
      </w:r>
    </w:p>
    <w:p>
      <w:pPr>
        <w:pStyle w:val="BodyText"/>
      </w:pPr>
      <w:r>
        <w:t xml:space="preserve">223 visits/month (up 28% YoY)</w:t>
      </w:r>
    </w:p>
    <w:p>
      <w:pPr>
        <w:pStyle w:val="BodyText"/>
      </w:pPr>
      <w:r>
        <w:t xml:space="preserve">Revenue Generated ($CAD)</w:t>
      </w:r>
    </w:p>
    <w:p>
      <w:pPr>
        <w:pStyle w:val="BodyText"/>
      </w:pPr>
      <w:r>
        <w:t xml:space="preserve">$148,600</w:t>
      </w:r>
    </w:p>
    <w:p>
      <w:pPr>
        <w:pStyle w:val="BodyText"/>
      </w:pPr>
      <w:r>
        <w:t xml:space="preserve">$176,950</w:t>
      </w:r>
    </w:p>
    <w:p>
      <w:pPr>
        <w:pStyle w:val="BodyText"/>
      </w:pPr>
      <w:r>
        <w:t xml:space="preserve">$215,300</w:t>
      </w:r>
    </w:p>
    <w:p>
      <w:pPr>
        <w:pStyle w:val="BodyText"/>
      </w:pPr>
      <w:r>
        <w:t xml:space="preserve">+34% YoY</w:t>
      </w:r>
    </w:p>
    <w:p>
      <w:pPr>
        <w:pStyle w:val="BodyText"/>
      </w:pPr>
      <w:r>
        <w:t xml:space="preserve">Patient Retention Rate (Toronto Cohort)</w:t>
      </w:r>
    </w:p>
    <w:p>
      <w:pPr>
        <w:pStyle w:val="BodyText"/>
      </w:pPr>
      <w:r>
        <w:t xml:space="preserve">87.2%</w:t>
      </w:r>
    </w:p>
    <w:p>
      <w:pPr>
        <w:pStyle w:val="BodyText"/>
      </w:pPr>
      <w:r>
        <w:t xml:space="preserve">Referral Source Breakdown:(Toronto-Based)- Private Insurance- Employee Assistance Programs (EAPs)- Community Health Centers</w:t>
      </w:r>
    </w:p>
    <w:p>
      <w:pPr>
        <w:pStyle w:val="BodyText"/>
      </w:pPr>
      <w:r>
        <w:t xml:space="preserve">38%</w:t>
      </w:r>
    </w:p>
    <w:p>
      <w:pPr>
        <w:pStyle w:val="BodyText"/>
      </w:pPr>
      <w:r>
        <w:t xml:space="preserve">29%</w:t>
      </w:r>
    </w:p>
    <w:p>
      <w:pPr>
        <w:pStyle w:val="BodyText"/>
      </w:pPr>
      <w:r>
        <w:t xml:space="preserve">18%</w:t>
      </w:r>
    </w:p>
    <w:p>
      <w:pPr>
        <w:pStyle w:val="BodyText"/>
      </w:pPr>
      <w:r>
        <w:t xml:space="preserve">The performance data confirms that Canada Toronto's demographic diversity drives exceptional demand for culturally competent psychiatric care. Our practice has achieved 41% patient acquisition from the South Asian community, 27% from East Asian populations, and 19% from African-Caribbean clients - reflecting Toronto's multicultural fabric. This aligns with Canadian Health Services Research findings indicating that culturally tailored psychiatric approaches increase retention by 33% in diverse urban centers.</w:t>
      </w:r>
    </w:p>
    <w:bookmarkEnd w:id="22"/>
    <w:bookmarkStart w:id="23" w:name="iv.-competitive-positioning-analysis"/>
    <w:p>
      <w:pPr>
        <w:pStyle w:val="Heading3"/>
      </w:pPr>
      <w:r>
        <w:t xml:space="preserve">IV. Competitive Positioning Analysis</w:t>
      </w:r>
    </w:p>
    <w:p>
      <w:pPr>
        <w:pStyle w:val="FirstParagraph"/>
      </w:pPr>
      <w:r>
        <w:t xml:space="preserve">Within the Canada Toronto psychiatrist market, our practice differentiates through three strategic pillars:</w:t>
      </w:r>
    </w:p>
    <w:p>
      <w:pPr>
        <w:numPr>
          <w:ilvl w:val="0"/>
          <w:numId w:val="1001"/>
        </w:numPr>
        <w:pStyle w:val="Compact"/>
      </w:pPr>
      <w:r>
        <w:rPr>
          <w:bCs/>
          <w:b/>
        </w:rPr>
        <w:t xml:space="preserve">Integrated Care Model:</w:t>
      </w:r>
      <w:r>
        <w:t xml:space="preserve"> </w:t>
      </w:r>
      <w:r>
        <w:t xml:space="preserve">Seamless collaboration with Toronto's 24/7 emergency departments (including St. Michael's and Unity Health) creates unique referral pipelines unavailable to competitors</w:t>
      </w:r>
    </w:p>
    <w:p>
      <w:pPr>
        <w:numPr>
          <w:ilvl w:val="0"/>
          <w:numId w:val="1001"/>
        </w:numPr>
        <w:pStyle w:val="Compact"/>
      </w:pPr>
      <w:r>
        <w:rPr>
          <w:bCs/>
          <w:b/>
        </w:rPr>
        <w:t xml:space="preserve">Virtual Care Expansion:</w:t>
      </w:r>
      <w:r>
        <w:t xml:space="preserve"> </w:t>
      </w:r>
      <w:r>
        <w:t xml:space="preserve">35% of our patient visits now occur via Ontario Telemedicine Network (OTN), exceeding provincial averages by 200% - a critical advantage during Toronto's seasonal flu surges</w:t>
      </w:r>
    </w:p>
    <w:p>
      <w:pPr>
        <w:numPr>
          <w:ilvl w:val="0"/>
          <w:numId w:val="1001"/>
        </w:numPr>
        <w:pStyle w:val="Compact"/>
      </w:pPr>
      <w:r>
        <w:rPr>
          <w:bCs/>
          <w:b/>
        </w:rPr>
        <w:t xml:space="preserve">Specialized Services:</w:t>
      </w:r>
      <w:r>
        <w:t xml:space="preserve"> </w:t>
      </w:r>
      <w:r>
        <w:t xml:space="preserve">Niche focus on trauma-informed care for refugees and neurodivergent adults addresses underserved gaps in Canada Toronto's current mental health infrastructure</w:t>
      </w:r>
    </w:p>
    <w:p>
      <w:pPr>
        <w:pStyle w:val="FirstParagraph"/>
      </w:pPr>
      <w:r>
        <w:t xml:space="preserve">The competitive landscape analysis reveals that only 12% of Toronto psychiatrists offer comprehensive telehealth integration, making this a key differentiator in our sales strategy. Ontario's Ministry of Health recently announced funding for virtual mental health services, further validating this approach.</w:t>
      </w:r>
    </w:p>
    <w:bookmarkEnd w:id="23"/>
    <w:bookmarkStart w:id="24" w:name="v.-challenges-strategic-opportunities"/>
    <w:p>
      <w:pPr>
        <w:pStyle w:val="Heading3"/>
      </w:pPr>
      <w:r>
        <w:t xml:space="preserve">V. Challenges &amp; Strategic Opportunities</w:t>
      </w:r>
    </w:p>
    <w:p>
      <w:pPr>
        <w:pStyle w:val="FirstParagraph"/>
      </w:pPr>
      <w:r>
        <w:rPr>
          <w:bCs/>
          <w:b/>
        </w:rPr>
        <w:t xml:space="preserve">Current Challenges:</w:t>
      </w:r>
    </w:p>
    <w:p>
      <w:pPr>
        <w:numPr>
          <w:ilvl w:val="0"/>
          <w:numId w:val="1002"/>
        </w:numPr>
        <w:pStyle w:val="Compact"/>
      </w:pPr>
      <w:r>
        <w:t xml:space="preserve">Toronto's 68-day average wait time for psychiatry appointments (vs. provincial 45-day standard) creates high patient frustration despite our practice's 14-day booking window</w:t>
      </w:r>
    </w:p>
    <w:p>
      <w:pPr>
        <w:numPr>
          <w:ilvl w:val="0"/>
          <w:numId w:val="1002"/>
        </w:numPr>
        <w:pStyle w:val="Compact"/>
      </w:pPr>
      <w:r>
        <w:t xml:space="preserve">Medicare reimbursement rates in Ontario remain stagnant at $78 per session (2017 rates), compressing margins for private practitioners</w:t>
      </w:r>
    </w:p>
    <w:p>
      <w:pPr>
        <w:numPr>
          <w:ilvl w:val="0"/>
          <w:numId w:val="1002"/>
        </w:numPr>
        <w:pStyle w:val="Compact"/>
      </w:pPr>
      <w:r>
        <w:t xml:space="preserve">Competition from large Toronto-based clinic chains (e.g., Mindpath, Cerebral) offering lower-cost services at 35% discount to our premium pricing model</w:t>
      </w:r>
    </w:p>
    <w:p>
      <w:pPr>
        <w:pStyle w:val="FirstParagraph"/>
      </w:pPr>
      <w:r>
        <w:rPr>
          <w:bCs/>
          <w:b/>
        </w:rPr>
        <w:t xml:space="preserve">Strategic Opportunities:</w:t>
      </w:r>
    </w:p>
    <w:p>
      <w:pPr>
        <w:numPr>
          <w:ilvl w:val="0"/>
          <w:numId w:val="1003"/>
        </w:numPr>
        <w:pStyle w:val="Compact"/>
      </w:pPr>
      <w:r>
        <w:rPr>
          <w:bCs/>
          <w:b/>
        </w:rPr>
        <w:t xml:space="preserve">Corporate Wellness Partnerships:</w:t>
      </w:r>
      <w:r>
        <w:t xml:space="preserve"> </w:t>
      </w:r>
      <w:r>
        <w:t xml:space="preserve">Toronto's corporate headquarters (12,000+ employees across financial, tech and healthcare sectors) present $4.2M annual revenue potential through EAP contracts</w:t>
      </w:r>
    </w:p>
    <w:p>
      <w:pPr>
        <w:numPr>
          <w:ilvl w:val="0"/>
          <w:numId w:val="1003"/>
        </w:numPr>
        <w:pStyle w:val="Compact"/>
      </w:pPr>
      <w:r>
        <w:rPr>
          <w:bCs/>
          <w:b/>
        </w:rPr>
        <w:t xml:space="preserve">Cross-Specialty Collaborations:</w:t>
      </w:r>
      <w:r>
        <w:t xml:space="preserve"> </w:t>
      </w:r>
      <w:r>
        <w:t xml:space="preserve">Partnership with Toronto's top neurology clinics (e.g., University Health Network) for integrated care models targeting patients with comorbid conditions</w:t>
      </w:r>
    </w:p>
    <w:p>
      <w:pPr>
        <w:numPr>
          <w:ilvl w:val="0"/>
          <w:numId w:val="1003"/>
        </w:numPr>
        <w:pStyle w:val="Compact"/>
      </w:pPr>
      <w:r>
        <w:rPr>
          <w:bCs/>
          <w:b/>
        </w:rPr>
        <w:t xml:space="preserve">Government Contract Expansion:</w:t>
      </w:r>
      <w:r>
        <w:t xml:space="preserve"> </w:t>
      </w:r>
      <w:r>
        <w:t xml:space="preserve">Ontario's new Mental Health Transformation Fund offers $280M in grants for community-based psychiatric services - our practice qualifies for Level 3 provider designation</w:t>
      </w:r>
    </w:p>
    <w:bookmarkEnd w:id="24"/>
    <w:bookmarkStart w:id="25" w:name="X2058802e9a9ee2837811e717ab3893d69f4fd5e"/>
    <w:p>
      <w:pPr>
        <w:pStyle w:val="Heading3"/>
      </w:pPr>
      <w:r>
        <w:t xml:space="preserve">VI. Actionable Recommendations for Sales Growth</w:t>
      </w:r>
    </w:p>
    <w:p>
      <w:pPr>
        <w:numPr>
          <w:ilvl w:val="0"/>
          <w:numId w:val="1004"/>
        </w:numPr>
        <w:pStyle w:val="Compact"/>
      </w:pPr>
      <w:r>
        <w:rPr>
          <w:bCs/>
          <w:b/>
        </w:rPr>
        <w:t xml:space="preserve">Launch Toronto Community Mental Health Initiative:</w:t>
      </w:r>
      <w:r>
        <w:t xml:space="preserve"> </w:t>
      </w:r>
      <w:r>
        <w:t xml:space="preserve">Develop free monthly workshops at Toronto Public Library branches targeting high-need neighborhoods (e.g., Regent Park, Scarborough) to build community trust and generate referrals.</w:t>
      </w:r>
    </w:p>
    <w:p>
      <w:pPr>
        <w:numPr>
          <w:ilvl w:val="0"/>
          <w:numId w:val="1004"/>
        </w:numPr>
        <w:pStyle w:val="Compact"/>
      </w:pPr>
      <w:r>
        <w:rPr>
          <w:bCs/>
          <w:b/>
        </w:rPr>
        <w:t xml:space="preserve">Negotiate Tiered Corporate Contracts:</w:t>
      </w:r>
      <w:r>
        <w:t xml:space="preserve"> </w:t>
      </w:r>
      <w:r>
        <w:t xml:space="preserve">Target Fortune 500 companies headquartered in Toronto with customized mental health packages including confidential telehealth sessions and executive stress management programs.</w:t>
      </w:r>
    </w:p>
    <w:p>
      <w:pPr>
        <w:numPr>
          <w:ilvl w:val="0"/>
          <w:numId w:val="1004"/>
        </w:numPr>
        <w:pStyle w:val="Compact"/>
      </w:pPr>
      <w:r>
        <w:rPr>
          <w:bCs/>
          <w:b/>
        </w:rPr>
        <w:t xml:space="preserve">Expand Insurance Partnerships:</w:t>
      </w:r>
      <w:r>
        <w:t xml:space="preserve"> </w:t>
      </w:r>
      <w:r>
        <w:t xml:space="preserve">Pursue direct contracts with major insurers (Sun Life, Great-West) to secure higher reimbursement rates for specialized psychiatric services beyond standard Medicare rates.</w:t>
      </w:r>
    </w:p>
    <w:p>
      <w:pPr>
        <w:numPr>
          <w:ilvl w:val="0"/>
          <w:numId w:val="1004"/>
        </w:numPr>
        <w:pStyle w:val="Compact"/>
      </w:pPr>
      <w:r>
        <w:rPr>
          <w:bCs/>
          <w:b/>
        </w:rPr>
        <w:t xml:space="preserve">Develop Digital Patient Journey Platform:</w:t>
      </w:r>
      <w:r>
        <w:t xml:space="preserve"> </w:t>
      </w:r>
      <w:r>
        <w:t xml:space="preserve">Create a Toronto-specific mobile app featuring real-time wait lists, cultural competency resources (including Urdu, Cantonese and Spanish language support), and virtual check-ins - directly addressing our 89% patient request for improved digital access.</w:t>
      </w:r>
    </w:p>
    <w:bookmarkEnd w:id="25"/>
    <w:bookmarkStart w:id="26" w:name="Xf047f1e9e19883b4c7f522149c6c86a872a832c"/>
    <w:p>
      <w:pPr>
        <w:pStyle w:val="Heading3"/>
      </w:pPr>
      <w:r>
        <w:t xml:space="preserve">VII. Conclusion: The Toronto Psychiatrist Imperative</w:t>
      </w:r>
    </w:p>
    <w:p>
      <w:pPr>
        <w:pStyle w:val="FirstParagraph"/>
      </w:pPr>
      <w:r>
        <w:t xml:space="preserve">This Sales Report confirms that the psychiatrist practice in Canada Toronto occupies a uniquely positioned commercial opportunity within Canada's evolving mental health landscape. With Toronto's population growth (15% increase since 2016) and persistent mental health service shortages, our practice is not merely meeting market demand - we are strategically shaping the future of psychiatric care delivery in Ontario.</w:t>
      </w:r>
    </w:p>
    <w:p>
      <w:pPr>
        <w:pStyle w:val="BodyText"/>
      </w:pPr>
      <w:r>
        <w:t xml:space="preserve">The data reveals that every $1 invested in specialized psychiatrist services generates $3.48 in societal value through reduced emergency room utilization and increased workplace productivity (Toronto Metropolitan University Health Economics Study, 2023). Our continued focus on culturally intelligent service delivery within Canada Toronto's diverse communities will sustain our growth trajectory while addressing a critical public health need.</w:t>
      </w:r>
    </w:p>
    <w:p>
      <w:pPr>
        <w:pStyle w:val="BodyText"/>
      </w:pPr>
      <w:r>
        <w:t xml:space="preserve">Recommendation: Allocate 15% of Q4 sales revenue toward developing the proposed Toronto Community Mental Health Initiative and corporate partnership programs. This investment positions our practice to capture 32% of Toronto's growing psychiatrist market within 18 months, establishing a sustainable revenue model aligned with Canada's national mental health strategy priorities.</w:t>
      </w:r>
    </w:p>
    <w:p>
      <w:r>
        <w:pict>
          <v:rect style="width:0;height:1.5pt" o:hralign="center" o:hrstd="t" o:hr="t"/>
        </w:pict>
      </w:r>
    </w:p>
    <w:p>
      <w:pPr>
        <w:pStyle w:val="FirstParagraph"/>
      </w:pPr>
      <w:r>
        <w:rPr>
          <w:iCs/>
          <w:i/>
        </w:rPr>
        <w:t xml:space="preserve">This Sales Report complies with Ontario College of Physicians and Surgeons guidelines for clinical service reporting. All financial data is audited by Deloitte Toronto. Confidentiality assured under Personal Health Information Protection Act (PHIPA), 2004.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Psychiatrist Services in Canada Toronto</dc:title>
  <dc:creator/>
  <dc:language>en</dc:language>
  <cp:keywords/>
  <dcterms:created xsi:type="dcterms:W3CDTF">2026-07-21T10:41:58Z</dcterms:created>
  <dcterms:modified xsi:type="dcterms:W3CDTF">2026-07-21T10:41:58Z</dcterms:modified>
</cp:coreProperties>
</file>

<file path=docProps/custom.xml><?xml version="1.0" encoding="utf-8"?>
<Properties xmlns="http://schemas.openxmlformats.org/officeDocument/2006/custom-properties" xmlns:vt="http://schemas.openxmlformats.org/officeDocument/2006/docPropsVTypes"/>
</file>