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in</w:t>
      </w:r>
      <w:r>
        <w:t xml:space="preserve"> </w:t>
      </w:r>
      <w:r>
        <w:t xml:space="preserve">Bogotá,</w:t>
      </w:r>
      <w:r>
        <w:t xml:space="preserve"> </w:t>
      </w:r>
      <w:r>
        <w:t xml:space="preserve">Colombia</w:t>
      </w:r>
    </w:p>
    <w:bookmarkStart w:id="28" w:name="X8cd978daec7d9ce7f635627f997566b665bf6eb"/>
    <w:p>
      <w:pPr>
        <w:pStyle w:val="Heading1"/>
      </w:pPr>
      <w:r>
        <w:t xml:space="preserve">Sales Report: Psychiatric Services Performance Analysis - Colombia Bogotá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Bogotá Mental Health Consortium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psychiatric services across Colombia Bogotá during Q3 2023, presenting comprehensive data on patient acquisition, revenue streams, and market positioning. The report confirms a significant upward trajectory in demand for specialized psychiatric care within Bogotá's urban healthcare ecosystem. Notably, we achieved a 18% year-over-year growth in consultation volumes and secured 12 new institutional partnerships with major healthcare providers across Colombia Bogotá. These results position our psychiatric services as the leading referral destination for complex mental health cases in the city. The data underscores Bogotá's evolving mental health landscape where increasing awareness of psychological wellness has transformed psychiatric care from a specialty to a critical public health necessity.</w:t>
      </w:r>
    </w:p>
    <w:bookmarkEnd w:id="20"/>
    <w:bookmarkStart w:id="23" w:name="ii.-sales-performance-breakdown"/>
    <w:p>
      <w:pPr>
        <w:pStyle w:val="Heading2"/>
      </w:pPr>
      <w:r>
        <w:t xml:space="preserve">II. Sales Performance Breakdown</w:t>
      </w:r>
    </w:p>
    <w:bookmarkStart w:id="21" w:name="a.-patient-acquisition-metrics"/>
    <w:p>
      <w:pPr>
        <w:pStyle w:val="Heading3"/>
      </w:pPr>
      <w:r>
        <w:t xml:space="preserve">A. Patient Acquisition Metrics</w:t>
      </w:r>
    </w:p>
    <w:p>
      <w:pPr>
        <w:pStyle w:val="FirstParagraph"/>
      </w:pPr>
      <w:r>
        <w:t xml:space="preserve">During Q3 2023, our psychiatry practice in Colombia Bogotá served 1,478 patients across all service tiers – a 15% increase from Q2 and an impressive 18% surge compared to the same period last year. The most significant growth occurred in two key segments:</w:t>
      </w:r>
    </w:p>
    <w:p>
      <w:pPr>
        <w:numPr>
          <w:ilvl w:val="0"/>
          <w:numId w:val="1001"/>
        </w:numPr>
        <w:pStyle w:val="Compact"/>
      </w:pPr>
      <w:r>
        <w:rPr>
          <w:bCs/>
          <w:b/>
        </w:rPr>
        <w:t xml:space="preserve">Private Insurance Patients:</w:t>
      </w:r>
      <w:r>
        <w:t xml:space="preserve"> </w:t>
      </w:r>
      <w:r>
        <w:t xml:space="preserve">+23% YoY (Total: 894 patients)</w:t>
      </w:r>
    </w:p>
    <w:p>
      <w:pPr>
        <w:numPr>
          <w:ilvl w:val="0"/>
          <w:numId w:val="1001"/>
        </w:numPr>
        <w:pStyle w:val="Compact"/>
      </w:pPr>
      <w:r>
        <w:rPr>
          <w:bCs/>
          <w:b/>
        </w:rPr>
        <w:t xml:space="preserve">Clinical Referral Network:</w:t>
      </w:r>
      <w:r>
        <w:t xml:space="preserve"> </w:t>
      </w:r>
      <w:r>
        <w:t xml:space="preserve">+19% YoY (Total: 584 patients)</w:t>
      </w:r>
    </w:p>
    <w:p>
      <w:pPr>
        <w:pStyle w:val="FirstParagraph"/>
      </w:pPr>
      <w:r>
        <w:t xml:space="preserve">This growth directly correlates with our strategic expansion of telepsychiatry services, which now account for 37% of all consultations. The implementation of Bogotá-specific mobile health apps has been instrumental in reducing no-show rates by 28% and improving patient retention.</w:t>
      </w:r>
    </w:p>
    <w:bookmarkEnd w:id="21"/>
    <w:bookmarkStart w:id="22" w:name="b.-revenue-analysis"/>
    <w:p>
      <w:pPr>
        <w:pStyle w:val="Heading3"/>
      </w:pPr>
      <w:r>
        <w:t xml:space="preserve">B. Revenue Analysis</w:t>
      </w:r>
    </w:p>
    <w:p>
      <w:pPr>
        <w:pStyle w:val="FirstParagraph"/>
      </w:pPr>
      <w:r>
        <w:t xml:space="preserve">Revenue generation reached $415,600 USD during Q3 (up from $352,100 in Q2), with a particularly strong performance in premium service offerings:</w:t>
      </w:r>
    </w:p>
    <w:p>
      <w:pPr>
        <w:numPr>
          <w:ilvl w:val="0"/>
          <w:numId w:val="1002"/>
        </w:numPr>
        <w:pStyle w:val="Compact"/>
      </w:pPr>
      <w:r>
        <w:rPr>
          <w:bCs/>
          <w:b/>
        </w:rPr>
        <w:t xml:space="preserve">Specialized Treatment Programs:</w:t>
      </w:r>
      <w:r>
        <w:t xml:space="preserve"> </w:t>
      </w:r>
      <w:r>
        <w:t xml:space="preserve">42% of total revenue (e.g., OCD management, trauma-focused therapy)</w:t>
      </w:r>
    </w:p>
    <w:p>
      <w:pPr>
        <w:numPr>
          <w:ilvl w:val="0"/>
          <w:numId w:val="1002"/>
        </w:numPr>
        <w:pStyle w:val="Compact"/>
      </w:pPr>
      <w:r>
        <w:rPr>
          <w:bCs/>
          <w:b/>
        </w:rPr>
        <w:t xml:space="preserve">Crisis Intervention Services:</w:t>
      </w:r>
      <w:r>
        <w:t xml:space="preserve"> </w:t>
      </w:r>
      <w:r>
        <w:t xml:space="preserve">27% of total revenue (notably driven by increased demand following recent citywide public health initiatives)</w:t>
      </w:r>
    </w:p>
    <w:p>
      <w:pPr>
        <w:numPr>
          <w:ilvl w:val="0"/>
          <w:numId w:val="1002"/>
        </w:numPr>
        <w:pStyle w:val="Compact"/>
      </w:pPr>
      <w:r>
        <w:rPr>
          <w:bCs/>
          <w:b/>
        </w:rPr>
        <w:t xml:space="preserve">Corporate Wellness Partnerships:</w:t>
      </w:r>
      <w:r>
        <w:t xml:space="preserve"> </w:t>
      </w:r>
      <w:r>
        <w:t xml:space="preserve">31% of total revenue (growing from 19% in Q2 through new agreements with Bogotá-based multinational firms)</w:t>
      </w:r>
    </w:p>
    <w:p>
      <w:pPr>
        <w:pStyle w:val="FirstParagraph"/>
      </w:pPr>
      <w:r>
        <w:t xml:space="preserve">The average revenue per consultation increased to $281 USD, reflecting our successful premium positioning within Colombia Bogotá's competitive mental healthcare market.</w:t>
      </w:r>
    </w:p>
    <w:bookmarkEnd w:id="22"/>
    <w:bookmarkEnd w:id="23"/>
    <w:bookmarkStart w:id="24" w:name="Xa052c55bcbf4f1aafbee9df2e5cf4b485ce933c"/>
    <w:p>
      <w:pPr>
        <w:pStyle w:val="Heading2"/>
      </w:pPr>
      <w:r>
        <w:t xml:space="preserve">III. Market Context: Psychiatry Services in Colombia Bogotá</w:t>
      </w:r>
    </w:p>
    <w:p>
      <w:pPr>
        <w:pStyle w:val="FirstParagraph"/>
      </w:pPr>
      <w:r>
        <w:t xml:space="preserve">Bogotá, as Colombia's capital and most populous city (over 8 million residents), represents the country's largest mental health service market. Recent National Institute of Health (INS) data reveals that 17% of Bogotá residents experience diagnosable mental disorders annually – a figure rising by 3.2% yearly due to urban stressors, economic pressures, and post-pandemic adjustment needs.</w:t>
      </w:r>
    </w:p>
    <w:p>
      <w:pPr>
        <w:pStyle w:val="BodyText"/>
      </w:pPr>
      <w:r>
        <w:t xml:space="preserve">Our Sales Report identifies three critical market shifts shaping psychiatric service demand in Colombia Bogotá:</w:t>
      </w:r>
    </w:p>
    <w:p>
      <w:pPr>
        <w:numPr>
          <w:ilvl w:val="0"/>
          <w:numId w:val="1003"/>
        </w:numPr>
        <w:pStyle w:val="Compact"/>
      </w:pPr>
      <w:r>
        <w:rPr>
          <w:bCs/>
          <w:b/>
        </w:rPr>
        <w:t xml:space="preserve">Insurance Expansion:</w:t>
      </w:r>
      <w:r>
        <w:t xml:space="preserve"> </w:t>
      </w:r>
      <w:r>
        <w:t xml:space="preserve">The mandatory mental health coverage under Colombia's 2018 healthcare reform has increased psychiatric access by 47% citywide since 2020.</w:t>
      </w:r>
    </w:p>
    <w:p>
      <w:pPr>
        <w:numPr>
          <w:ilvl w:val="0"/>
          <w:numId w:val="1003"/>
        </w:numPr>
        <w:pStyle w:val="Compact"/>
      </w:pPr>
      <w:r>
        <w:rPr>
          <w:bCs/>
          <w:b/>
        </w:rPr>
        <w:t xml:space="preserve">Cultural Stigma Reduction:</w:t>
      </w:r>
      <w:r>
        <w:t xml:space="preserve"> </w:t>
      </w:r>
      <w:r>
        <w:t xml:space="preserve">Bogotá's "Mente Saludable" public awareness campaign has driven a 35% increase in first-time patient consultations among traditionally underserved demographics.</w:t>
      </w:r>
    </w:p>
    <w:bookmarkEnd w:id="24"/>
    <w:bookmarkStart w:id="25" w:name="iv.-competitive-landscape-analysis"/>
    <w:p>
      <w:pPr>
        <w:pStyle w:val="Heading2"/>
      </w:pPr>
      <w:r>
        <w:t xml:space="preserve">IV. Competitive Landscape Analysis</w:t>
      </w:r>
    </w:p>
    <w:p>
      <w:pPr>
        <w:pStyle w:val="FirstParagraph"/>
      </w:pPr>
      <w:r>
        <w:t xml:space="preserve">In Colombia Bogotá's competitive psychiatric market (37 clinics operating citywide), we maintain a 68% market share in premium treatment segments. Key competitors include:</w:t>
      </w:r>
    </w:p>
    <w:p>
      <w:pPr>
        <w:pStyle w:val="BodyText"/>
      </w:pPr>
      <w:r>
        <w:t xml:space="preserve">Competitor</w:t>
      </w:r>
    </w:p>
    <w:p>
      <w:pPr>
        <w:pStyle w:val="BodyText"/>
      </w:pPr>
      <w:r>
        <w:t xml:space="preserve">Market Share (Premium)</w:t>
      </w:r>
    </w:p>
    <w:p>
      <w:pPr>
        <w:pStyle w:val="BodyText"/>
      </w:pPr>
      <w:r>
        <w:t xml:space="preserve">Key Differentiator</w:t>
      </w:r>
    </w:p>
    <w:p>
      <w:pPr>
        <w:pStyle w:val="BodyText"/>
      </w:pPr>
      <w:r>
        <w:t xml:space="preserve">Clinica Psiquiátrica del Norte</w:t>
      </w:r>
    </w:p>
    <w:p>
      <w:pPr>
        <w:pStyle w:val="BodyText"/>
      </w:pPr>
      <w:r>
        <w:t xml:space="preserve">21%</w:t>
      </w:r>
    </w:p>
    <w:p>
      <w:pPr>
        <w:pStyle w:val="BodyText"/>
      </w:pPr>
      <w:r>
        <w:t xml:space="preserve">National insurance partnerships</w:t>
      </w:r>
    </w:p>
    <w:p>
      <w:pPr>
        <w:pStyle w:val="BodyText"/>
      </w:pPr>
      <w:r>
        <w:rPr>
          <w:bCs/>
          <w:b/>
        </w:rPr>
        <w:t xml:space="preserve">Our Practice (Bogotá Psychiatry Center)</w:t>
      </w:r>
    </w:p>
    <w:p>
      <w:pPr>
        <w:pStyle w:val="BodyText"/>
      </w:pPr>
      <w:r>
        <w:rPr>
          <w:bCs/>
          <w:b/>
        </w:rPr>
        <w:t xml:space="preserve">68%</w:t>
      </w:r>
    </w:p>
    <w:p>
      <w:pPr>
        <w:pStyle w:val="BodyText"/>
      </w:pPr>
      <w:r>
        <w:rPr>
          <w:bCs/>
          <w:b/>
        </w:rPr>
        <w:t xml:space="preserve">Specialized treatment protocols + telepsychiatry integration</w:t>
      </w:r>
    </w:p>
    <w:p>
      <w:pPr>
        <w:pStyle w:val="BodyText"/>
      </w:pPr>
      <w:r>
        <w:t xml:space="preserve">Clinica Sanidad Mental</w:t>
      </w:r>
    </w:p>
    <w:p>
      <w:pPr>
        <w:pStyle w:val="BodyText"/>
      </w:pPr>
      <w:r>
        <w:t xml:space="preserve">11%</w:t>
      </w:r>
    </w:p>
    <w:p>
      <w:pPr>
        <w:pStyle w:val="SourceCode"/>
      </w:pPr>
      <w:r>
        <w:rPr>
          <w:rStyle w:val="VerbatimChar"/>
        </w:rPr>
        <w:t xml:space="preserve">Digital platform limitations</w:t>
      </w:r>
    </w:p>
    <w:bookmarkEnd w:id="25"/>
    <w:bookmarkStart w:id="26" w:name="v.-strategic-recommendations-for-q4-2023"/>
    <w:p>
      <w:pPr>
        <w:pStyle w:val="Heading2"/>
      </w:pPr>
      <w:r>
        <w:t xml:space="preserve">V. Strategic Recommendations for Q4 2023</w:t>
      </w:r>
    </w:p>
    <w:p>
      <w:pPr>
        <w:pStyle w:val="FirstParagraph"/>
      </w:pPr>
      <w:r>
        <w:t xml:space="preserve">Based on our Sales Report findings, we recommend the following priority actions to sustain growth in Colombia Bogotá:</w:t>
      </w:r>
    </w:p>
    <w:p>
      <w:pPr>
        <w:numPr>
          <w:ilvl w:val="0"/>
          <w:numId w:val="1004"/>
        </w:numPr>
        <w:pStyle w:val="Compact"/>
      </w:pPr>
      <w:r>
        <w:rPr>
          <w:bCs/>
          <w:b/>
        </w:rPr>
        <w:t xml:space="preserve">Expand Telepsychiatry Access:</w:t>
      </w:r>
      <w:r>
        <w:t xml:space="preserve"> </w:t>
      </w:r>
      <w:r>
        <w:t xml:space="preserve">Launch "Bogotá Mental Health Mobile" app with real-time appointment booking – projected to increase patient volume by 25% and capture 40% of Bogotá's underserved areas.</w:t>
      </w:r>
    </w:p>
    <w:p>
      <w:pPr>
        <w:numPr>
          <w:ilvl w:val="0"/>
          <w:numId w:val="1004"/>
        </w:numPr>
        <w:pStyle w:val="Compact"/>
      </w:pPr>
      <w:r>
        <w:rPr>
          <w:bCs/>
          <w:b/>
        </w:rPr>
        <w:t xml:space="preserve">Develop Corporate Psychiatry Packages:</w:t>
      </w:r>
      <w:r>
        <w:t xml:space="preserve"> </w:t>
      </w:r>
      <w:r>
        <w:t xml:space="preserve">Create tailored mental health programs for Bogotá's top 10 multinational employers (already in negotiations with Banco de Bogotá and Avianca).</w:t>
      </w:r>
    </w:p>
    <w:p>
      <w:pPr>
        <w:numPr>
          <w:ilvl w:val="0"/>
          <w:numId w:val="1004"/>
        </w:numPr>
        <w:pStyle w:val="Compact"/>
      </w:pPr>
      <w:r>
        <w:rPr>
          <w:bCs/>
          <w:b/>
        </w:rPr>
        <w:t xml:space="preserve">Promote Community Outreach:</w:t>
      </w:r>
      <w:r>
        <w:t xml:space="preserve"> </w:t>
      </w:r>
      <w:r>
        <w:t xml:space="preserve">Partner with local universities (Universidad Nacional, Javeriana) to establish psychiatric residency training programs – addressing Colombia's severe psychiatrist shortage while enhancing our brand authority.</w:t>
      </w:r>
    </w:p>
    <w:bookmarkEnd w:id="26"/>
    <w:bookmarkStart w:id="27" w:name="X15d56fd8c7a56431ff8c3f054ceefe185a8a4de"/>
    <w:p>
      <w:pPr>
        <w:pStyle w:val="Heading2"/>
      </w:pPr>
      <w:r>
        <w:t xml:space="preserve">VI. Conclusion: The Future of Psychiatry in Colombia Bogotá</w:t>
      </w:r>
    </w:p>
    <w:p>
      <w:pPr>
        <w:pStyle w:val="FirstParagraph"/>
      </w:pPr>
      <w:r>
        <w:t xml:space="preserve">This Sales Report demonstrates that the demand for specialized psychiatric services in Bogotá, Colombia has evolved beyond basic treatment to encompass comprehensive mental wellness ecosystems. Our data confirms that strategic investment in technology integration, cultural competency training for our psychiatrist team, and community engagement directly correlates with market leadership.</w:t>
      </w:r>
    </w:p>
    <w:p>
      <w:pPr>
        <w:pStyle w:val="BodyText"/>
      </w:pPr>
      <w:r>
        <w:t xml:space="preserve">As Colombia's urban population continues expanding (Bogotá grows at 2.1% annually), the need for accessible, high-quality psychiatric care becomes increasingly critical. Our current performance – particularly our 18% YoY growth in a competitive landscape – validates that Bogotá Psychiatry Center is not merely meeting market demand but actively shaping Colombia's mental healthcare future.</w:t>
      </w:r>
    </w:p>
    <w:p>
      <w:pPr>
        <w:pStyle w:val="BodyText"/>
      </w:pPr>
      <w:r>
        <w:t xml:space="preserve">We are positioned to capitalize on emerging opportunities including the Colombian government's new $20M mental health initiative targeting urban centers. By maintaining our focus on evidence-based psychiatry services tailored for Bogotá residents' unique needs, this Sales Report confirms our trajectory as Colombia Bogotá's definitive leader in psychiatric care innovation and delivery.</w:t>
      </w:r>
    </w:p>
    <w:p>
      <w:pPr>
        <w:pStyle w:val="BodyText"/>
      </w:pPr>
      <w:r>
        <w:rPr>
          <w:bCs/>
          <w:b/>
        </w:rPr>
        <w:t xml:space="preserve">Prepared by:</w:t>
      </w:r>
      <w:r>
        <w:t xml:space="preserve"> </w:t>
      </w:r>
      <w:r>
        <w:t xml:space="preserve">Strategic Growth Division</w:t>
      </w:r>
      <w:r>
        <w:br/>
      </w:r>
      <w:r>
        <w:rPr>
          <w:bCs/>
          <w:b/>
        </w:rPr>
        <w:t xml:space="preserve">Signature:</w:t>
      </w:r>
      <w:r>
        <w:t xml:space="preserve"> </w:t>
      </w:r>
      <w:r>
        <w:t xml:space="preserve">Dr. Elena Márquez, Chief Psychiatrist &amp; Business Development Officer</w:t>
      </w:r>
      <w:r>
        <w:br/>
      </w:r>
      <w:r>
        <w:rPr>
          <w:bCs/>
          <w:b/>
        </w:rPr>
        <w:t xml:space="preserve">Institution:</w:t>
      </w:r>
      <w:r>
        <w:t xml:space="preserve"> </w:t>
      </w:r>
      <w:r>
        <w:t xml:space="preserve">Bogotá Psychiatry Center (Registered Provider #PSY-0987 Colombia)</w:t>
      </w:r>
    </w:p>
    <w:p>
      <w:r>
        <w:pict>
          <v:rect style="width:0;height:1.5pt" o:hralign="center" o:hrstd="t" o:hr="t"/>
        </w:pict>
      </w:r>
    </w:p>
    <w:p>
      <w:pPr>
        <w:pStyle w:val="FirstParagraph"/>
      </w:pPr>
      <w:r>
        <w:rPr>
          <w:iCs/>
          <w:i/>
        </w:rPr>
        <w:t xml:space="preserve">This Sales Report complies with Colombian Medical Association regulations and includes all data verified by the Ministry of Health's National Mental Health Registry. Confidentiality Notice: This document is intended solely for authorized personnel of the Bogotá Mental Health Consortium.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Psychiatry Services in Bogotá, Colombia</dc:title>
  <dc:creator/>
  <dc:language>en</dc:language>
  <cp:keywords/>
  <dcterms:created xsi:type="dcterms:W3CDTF">2026-07-24T04:00:56Z</dcterms:created>
  <dcterms:modified xsi:type="dcterms:W3CDTF">2026-07-24T04:00:56Z</dcterms:modified>
</cp:coreProperties>
</file>

<file path=docProps/custom.xml><?xml version="1.0" encoding="utf-8"?>
<Properties xmlns="http://schemas.openxmlformats.org/officeDocument/2006/custom-properties" xmlns:vt="http://schemas.openxmlformats.org/officeDocument/2006/docPropsVTypes"/>
</file>