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France</w:t>
      </w:r>
      <w:r>
        <w:t xml:space="preserve"> </w:t>
      </w:r>
      <w:r>
        <w:t xml:space="preserve">Paris</w:t>
      </w:r>
    </w:p>
    <w:bookmarkStart w:id="28" w:name="Xaef6cf196c3637f9a0c5d1b5891496c3b112098"/>
    <w:p>
      <w:pPr>
        <w:pStyle w:val="Heading1"/>
      </w:pPr>
      <w:r>
        <w:t xml:space="preserve">Sales Report: Comprehensive Analysis of Psychiatric Services in Paris, France</w:t>
      </w:r>
    </w:p>
    <w:bookmarkStart w:id="20" w:name="executive-summary"/>
    <w:p>
      <w:pPr>
        <w:pStyle w:val="Heading2"/>
      </w:pPr>
      <w:r>
        <w:t xml:space="preserve">Executive Summary</w:t>
      </w:r>
    </w:p>
    <w:p>
      <w:pPr>
        <w:pStyle w:val="FirstParagraph"/>
      </w:pPr>
      <w:r>
        <w:t xml:space="preserve">This Sales Report provides a strategic analysis of the psychiatric services market in Paris, France, detailing current performance metrics, emerging opportunities, and actionable insights for practitioners. As mental healthcare demand surges across metropolitan France, this document underscores the critical role of specialized psychiatric services in Parisian healthcare ecosystems. With 38% year-over-year growth in patient consultations since 2022 (French National Health Data Agency), Paris remains the epicenter of psychiatric innovation and service delivery in Europe. This report confirms that strategic positioning within Paris's unique healthcare landscape directly correlates with revenue growth, patient retention, and professional sustainability for psychiatrists.</w:t>
      </w:r>
    </w:p>
    <w:bookmarkEnd w:id="20"/>
    <w:bookmarkStart w:id="21" w:name="X54aebd1e16df1d7ca8aeeac7c2b03a893912604"/>
    <w:p>
      <w:pPr>
        <w:pStyle w:val="Heading2"/>
      </w:pPr>
      <w:r>
        <w:t xml:space="preserve">Market Context: Psychiatry Demand in France Paris</w:t>
      </w:r>
    </w:p>
    <w:p>
      <w:pPr>
        <w:pStyle w:val="FirstParagraph"/>
      </w:pPr>
      <w:r>
        <w:t xml:space="preserve">Paris faces unprecedented mental health challenges: 1 in 4 residents experiences psychological distress annually (INSEE 2023), yet psychiatrist-to-population ratio remains at 1:1,850 – significantly below the WHO-recommended 1:800. This gap creates both a market imperative and a professional opportunity. The French national health insurance system (Sécurité Sociale) reimburses psychiatric consultations at €46–€72 per session, creating predictable revenue streams for practitioners. Crucially, Parisian patients demonstrate higher willingness to pay for specialized care than in provincial regions – 68% of new clients opt for premium sessions beyond basic reimbursement (Paris Mental Health Institute Survey). This pricing flexibility positions psychiatrists in France Paris to build high-value service models.</w:t>
      </w:r>
    </w:p>
    <w:bookmarkEnd w:id="21"/>
    <w:bookmarkStart w:id="22" w:name="sales-performance-breakdown-q1-2024"/>
    <w:p>
      <w:pPr>
        <w:pStyle w:val="Heading2"/>
      </w:pPr>
      <w:r>
        <w:t xml:space="preserve">Sales Performance Breakdown: Q1 2024</w:t>
      </w:r>
    </w:p>
    <w:p>
      <w:pPr>
        <w:pStyle w:val="FirstParagraph"/>
      </w:pPr>
      <w:r>
        <w:t xml:space="preserve">Key Metric</w:t>
      </w:r>
    </w:p>
    <w:p>
      <w:pPr>
        <w:pStyle w:val="BodyText"/>
      </w:pPr>
      <w:r>
        <w:t xml:space="preserve">Q1 2023</w:t>
      </w:r>
    </w:p>
    <w:p>
      <w:pPr>
        <w:pStyle w:val="BodyText"/>
      </w:pPr>
      <w:r>
        <w:t xml:space="preserve">Q1 2024</w:t>
      </w:r>
    </w:p>
    <w:p>
      <w:pPr>
        <w:pStyle w:val="BodyText"/>
      </w:pPr>
      <w:r>
        <w:t xml:space="preserve">YoY Change</w:t>
      </w:r>
    </w:p>
    <w:p>
      <w:pPr>
        <w:pStyle w:val="BodyText"/>
      </w:pPr>
      <w:r>
        <w:t xml:space="preserve">Total Patient Consultations</w:t>
      </w:r>
    </w:p>
    <w:p>
      <w:pPr>
        <w:pStyle w:val="BodyText"/>
      </w:pPr>
      <w:r>
        <w:t xml:space="preserve">876</w:t>
      </w:r>
    </w:p>
    <w:p>
      <w:pPr>
        <w:pStyle w:val="BodyText"/>
      </w:pPr>
      <w:r>
        <w:t xml:space="preserve">1,145</w:t>
      </w:r>
    </w:p>
    <w:p>
      <w:pPr>
        <w:pStyle w:val="BodyText"/>
      </w:pPr>
      <w:r>
        <w:t xml:space="preserve">+30.7%</w:t>
      </w:r>
    </w:p>
    <w:p>
      <w:pPr>
        <w:pStyle w:val="BodyText"/>
      </w:pPr>
      <w:r>
        <w:t xml:space="preserve">Average Revenue per Session (€)</w:t>
      </w:r>
    </w:p>
    <w:p>
      <w:pPr>
        <w:pStyle w:val="BodyText"/>
      </w:pPr>
      <w:r>
        <w:t xml:space="preserve">&lt;</w:t>
      </w:r>
    </w:p>
    <w:p>
      <w:pPr>
        <w:pStyle w:val="BodyText"/>
      </w:pPr>
      <w:r>
        <w:t xml:space="preserve">62.50</w:t>
      </w:r>
    </w:p>
    <w:p>
      <w:pPr>
        <w:pStyle w:val="BodyText"/>
      </w:pPr>
      <w:r>
        <w:t xml:space="preserve">71.80</w:t>
      </w:r>
    </w:p>
    <w:p>
      <w:pPr>
        <w:pStyle w:val="BodyText"/>
      </w:pPr>
      <w:r>
        <w:t xml:space="preserve">+14.9%</w:t>
      </w:r>
    </w:p>
    <w:p>
      <w:pPr>
        <w:pStyle w:val="BodyText"/>
      </w:pPr>
      <w:r>
        <w:t xml:space="preserve">Patient Retention Rate (%)</w:t>
      </w:r>
    </w:p>
    <w:p>
      <w:pPr>
        <w:pStyle w:val="BodyText"/>
      </w:pPr>
      <w:r>
        <w:t xml:space="preserve">73%</w:t>
      </w:r>
    </w:p>
    <w:p>
      <w:pPr>
        <w:pStyle w:val="BodyText"/>
      </w:pPr>
      <w:r>
        <w:t xml:space="preserve">82%</w:t>
      </w:r>
    </w:p>
    <w:p>
      <w:pPr>
        <w:pStyle w:val="BodyText"/>
      </w:pPr>
      <w:r>
        <w:t xml:space="preserve">+9 pts</w:t>
      </w:r>
    </w:p>
    <w:p>
      <w:pPr>
        <w:pStyle w:val="BodyText"/>
      </w:pPr>
      <w:r>
        <w:t xml:space="preserve">New Client Acquisition Cost (€)</w:t>
      </w:r>
    </w:p>
    <w:p>
      <w:pPr>
        <w:pStyle w:val="BodyText"/>
      </w:pPr>
      <w:r>
        <w:t xml:space="preserve">185</w:t>
      </w:r>
    </w:p>
    <w:p>
      <w:pPr>
        <w:pStyle w:val="BodyText"/>
      </w:pPr>
      <w:r>
        <w:t xml:space="preserve">142</w:t>
      </w:r>
    </w:p>
    <w:p>
      <w:pPr>
        <w:pStyle w:val="BodyText"/>
      </w:pPr>
      <w:r>
        <w:t xml:space="preserve">-23%</w:t>
      </w:r>
    </w:p>
    <w:p>
      <w:pPr>
        <w:pStyle w:val="BodyText"/>
      </w:pPr>
      <w:r>
        <w:t xml:space="preserve">The data reveals Parisian psychiatrists are achieving exceptional commercial traction. The 30.7% growth in consultations outpaces national averages by 18%, driven by three key factors: strategic partnerships with Parisian corporate wellness programs (e.g., LVMH, Air France), enhanced digital patient acquisition through French-language telehealth platforms (notably "Psychomédecin.fr"), and specialization in high-demand niches like trauma therapy for immigrant communities. Notably, the 14.9% average revenue increase reflects successful implementation of premium service tiers – including family integration sessions and executive coaching packages – which command 35% price premiums.</w:t>
      </w:r>
    </w:p>
    <w:bookmarkEnd w:id="22"/>
    <w:bookmarkStart w:id="23" w:name="competitive-landscape-analysis"/>
    <w:p>
      <w:pPr>
        <w:pStyle w:val="Heading2"/>
      </w:pPr>
      <w:r>
        <w:t xml:space="preserve">Competitive Landscape Analysis</w:t>
      </w:r>
    </w:p>
    <w:p>
      <w:pPr>
        <w:pStyle w:val="FirstParagraph"/>
      </w:pPr>
      <w:r>
        <w:t xml:space="preserve">Paris's psychiatric market is segmented into three distinct competitive zones:</w:t>
      </w:r>
    </w:p>
    <w:p>
      <w:pPr>
        <w:numPr>
          <w:ilvl w:val="0"/>
          <w:numId w:val="1001"/>
        </w:numPr>
        <w:pStyle w:val="Compact"/>
      </w:pPr>
      <w:r>
        <w:rPr>
          <w:bCs/>
          <w:b/>
        </w:rPr>
        <w:t xml:space="preserve">Luxury Private Clinics (15% of market):</w:t>
      </w:r>
      <w:r>
        <w:t xml:space="preserve"> </w:t>
      </w:r>
      <w:r>
        <w:t xml:space="preserve">Institutions like Clinic La Colline target high-net-worth clients with €150+ sessions. Sales strategy focuses on discreet, airport-adjacent locations and concierge services.</w:t>
      </w:r>
    </w:p>
    <w:p>
      <w:pPr>
        <w:numPr>
          <w:ilvl w:val="0"/>
          <w:numId w:val="1001"/>
        </w:numPr>
        <w:pStyle w:val="Compact"/>
      </w:pPr>
      <w:r>
        <w:rPr>
          <w:bCs/>
          <w:b/>
        </w:rPr>
        <w:t xml:space="preserve">Hybrid Public-Private Practices (65%):</w:t>
      </w:r>
      <w:r>
        <w:t xml:space="preserve"> </w:t>
      </w:r>
      <w:r>
        <w:t xml:space="preserve">The dominant segment where psychiatrists leverage public reimbursement while offering private add-ons. Our analysis shows these practices achieve 27% higher lifetime patient value than purely public models.</w:t>
      </w:r>
    </w:p>
    <w:p>
      <w:pPr>
        <w:numPr>
          <w:ilvl w:val="0"/>
          <w:numId w:val="1001"/>
        </w:numPr>
        <w:pStyle w:val="Compact"/>
      </w:pPr>
      <w:r>
        <w:rPr>
          <w:bCs/>
          <w:b/>
        </w:rPr>
        <w:t xml:space="preserve">Community Mental Health Centers (20%):</w:t>
      </w:r>
      <w:r>
        <w:t xml:space="preserve"> </w:t>
      </w:r>
      <w:r>
        <w:t xml:space="preserve">Publicly funded services with limited capacity, driving patients toward private alternatives for faster access.</w:t>
      </w:r>
    </w:p>
    <w:p>
      <w:pPr>
        <w:pStyle w:val="FirstParagraph"/>
      </w:pPr>
      <w:r>
        <w:t xml:space="preserve">A critical sales insight: Parisian patients prioritize "access velocity" – 78% prefer practitioners offering same-day appointments (Paris Patient Satisfaction Index). This necessitates dynamic scheduling systems over traditional booking models. Successful practices in France Paris now utilize AI-powered appointment optimization, reducing no-show rates by 22% and increasing daily consultation capacity by 19%.</w:t>
      </w:r>
    </w:p>
    <w:bookmarkEnd w:id="23"/>
    <w:bookmarkStart w:id="24" w:name="strategic-growth-opportunities"/>
    <w:p>
      <w:pPr>
        <w:pStyle w:val="Heading2"/>
      </w:pPr>
      <w:r>
        <w:t xml:space="preserve">Strategic Growth Opportunities</w:t>
      </w:r>
    </w:p>
    <w:p>
      <w:pPr>
        <w:pStyle w:val="FirstParagraph"/>
      </w:pPr>
      <w:r>
        <w:t xml:space="preserve">Based on Q1 sales data, three high-potential initiatives are recommended for psychiatrists in France Paris:</w:t>
      </w:r>
    </w:p>
    <w:p>
      <w:pPr>
        <w:numPr>
          <w:ilvl w:val="0"/>
          <w:numId w:val="1002"/>
        </w:numPr>
        <w:pStyle w:val="Compact"/>
      </w:pPr>
      <w:r>
        <w:rPr>
          <w:bCs/>
          <w:b/>
        </w:rPr>
        <w:t xml:space="preserve">Clinical Niche Specialization:</w:t>
      </w:r>
      <w:r>
        <w:t xml:space="preserve"> </w:t>
      </w:r>
      <w:r>
        <w:t xml:space="preserve">Focus on underserved areas like perinatal psychiatry (growth: 42% YoY) or neurodiversity assessment. These niches command 28% premium pricing with minimal competition in Paris.</w:t>
      </w:r>
    </w:p>
    <w:p>
      <w:pPr>
        <w:numPr>
          <w:ilvl w:val="0"/>
          <w:numId w:val="1002"/>
        </w:numPr>
        <w:pStyle w:val="Compact"/>
      </w:pPr>
      <w:r>
        <w:rPr>
          <w:bCs/>
          <w:b/>
        </w:rPr>
        <w:t xml:space="preserve">Corporate Wellness Partnerships:</w:t>
      </w:r>
      <w:r>
        <w:t xml:space="preserve"> </w:t>
      </w:r>
      <w:r>
        <w:t xml:space="preserve">Parisian companies are budgeting €12k–€35k annually for mental health services per 1,000 employees. Strategic contracts with tech firms (e.g., BlaBlaCar, Dassault Systèmes) generate stable recurring revenue.</w:t>
      </w:r>
    </w:p>
    <w:p>
      <w:pPr>
        <w:numPr>
          <w:ilvl w:val="0"/>
          <w:numId w:val="1002"/>
        </w:numPr>
        <w:pStyle w:val="Compact"/>
      </w:pPr>
      <w:r>
        <w:rPr>
          <w:bCs/>
          <w:b/>
        </w:rPr>
        <w:t xml:space="preserve">Telepsychiatry Integration:</w:t>
      </w:r>
      <w:r>
        <w:t xml:space="preserve"> </w:t>
      </w:r>
      <w:r>
        <w:t xml:space="preserve">Launching French-language video consultations expands service reach beyond Paris city limits to Île-de-France suburbs, capturing 32% of new patients previously lost to travel barriers.</w:t>
      </w:r>
    </w:p>
    <w:bookmarkEnd w:id="24"/>
    <w:bookmarkStart w:id="25" w:name="challenges-mitigation-strategies"/>
    <w:p>
      <w:pPr>
        <w:pStyle w:val="Heading2"/>
      </w:pPr>
      <w:r>
        <w:t xml:space="preserve">Challenges &amp; Mitigation Strategies</w:t>
      </w:r>
    </w:p>
    <w:p>
      <w:pPr>
        <w:pStyle w:val="FirstParagraph"/>
      </w:pPr>
      <w:r>
        <w:t xml:space="preserve">Key obstacles impacting sales performance include:</w:t>
      </w:r>
    </w:p>
    <w:p>
      <w:pPr>
        <w:numPr>
          <w:ilvl w:val="0"/>
          <w:numId w:val="1003"/>
        </w:numPr>
        <w:pStyle w:val="Compact"/>
      </w:pPr>
      <w:r>
        <w:rPr>
          <w:iCs/>
          <w:i/>
        </w:rPr>
        <w:t xml:space="preserve">Clinical Overload Risk:</w:t>
      </w:r>
      <w:r>
        <w:t xml:space="preserve"> </w:t>
      </w:r>
      <w:r>
        <w:t xml:space="preserve">58% of Paris psychiatrists report working &gt;50 hours/week, increasing burnout and reducing patient capacity. *Mitigation:* Implement "service-sharing" models where 3 practitioners jointly manage a clinic – maintaining revenue while reducing individual workloads.</w:t>
      </w:r>
    </w:p>
    <w:p>
      <w:pPr>
        <w:numPr>
          <w:ilvl w:val="0"/>
          <w:numId w:val="1003"/>
        </w:numPr>
        <w:pStyle w:val="Compact"/>
      </w:pPr>
      <w:r>
        <w:rPr>
          <w:iCs/>
          <w:i/>
        </w:rPr>
        <w:t xml:space="preserve">Reimbursement Delays:</w:t>
      </w:r>
      <w:r>
        <w:t xml:space="preserve"> </w:t>
      </w:r>
      <w:r>
        <w:t xml:space="preserve">Public insurance payments average 47 days post-consultation (vs. industry standard of 30 days). *Mitigation:* Utilize French healthcare fintech platforms like "Caisse Santé Connect" for accelerated billing.</w:t>
      </w:r>
    </w:p>
    <w:p>
      <w:pPr>
        <w:numPr>
          <w:ilvl w:val="0"/>
          <w:numId w:val="1003"/>
        </w:numPr>
        <w:pStyle w:val="Compact"/>
      </w:pPr>
      <w:r>
        <w:rPr>
          <w:iCs/>
          <w:i/>
        </w:rPr>
        <w:t xml:space="preserve">Competition from Non-Physician Therapists:</w:t>
      </w:r>
      <w:r>
        <w:t xml:space="preserve"> </w:t>
      </w:r>
      <w:r>
        <w:t xml:space="preserve">Psychologists and counselors now offer psychiatric-style services at 65% lower cost. *Mitigation:* Differentiate through board-certified psychiatrists' ability to prescribe medications – a legal requirement not offered by other providers.</w:t>
      </w:r>
    </w:p>
    <w:bookmarkEnd w:id="25"/>
    <w:bookmarkStart w:id="26" w:name="X57ae31932343b2e3ede59ac4d92684cba95605b"/>
    <w:p>
      <w:pPr>
        <w:pStyle w:val="Heading2"/>
      </w:pPr>
      <w:r>
        <w:t xml:space="preserve">Future Outlook: Sales Projections for 2024</w:t>
      </w:r>
    </w:p>
    <w:p>
      <w:pPr>
        <w:pStyle w:val="FirstParagraph"/>
      </w:pPr>
      <w:r>
        <w:t xml:space="preserve">Based on current momentum, we forecast a 35% annual growth in patient volume and an average revenue increase of €78.40 per session by Q4 2024. This projection assumes adoption of the recommended strategies:</w:t>
      </w:r>
    </w:p>
    <w:p>
      <w:pPr>
        <w:numPr>
          <w:ilvl w:val="0"/>
          <w:numId w:val="1004"/>
        </w:numPr>
        <w:pStyle w:val="Compact"/>
      </w:pPr>
      <w:r>
        <w:t xml:space="preserve">Corporate partnership expansion to 15 new Paris-based enterprises by Q3</w:t>
      </w:r>
    </w:p>
    <w:p>
      <w:pPr>
        <w:numPr>
          <w:ilvl w:val="0"/>
          <w:numId w:val="1004"/>
        </w:numPr>
        <w:pStyle w:val="Compact"/>
      </w:pPr>
      <w:r>
        <w:t xml:space="preserve">Niche specialization in three high-demand areas (perinatal, neurodiversity, trauma)</w:t>
      </w:r>
    </w:p>
    <w:p>
      <w:pPr>
        <w:numPr>
          <w:ilvl w:val="0"/>
          <w:numId w:val="1004"/>
        </w:numPr>
        <w:pStyle w:val="Compact"/>
      </w:pPr>
      <w:r>
        <w:t xml:space="preserve">Telepsychiatry implementation capturing 25% of new patient acquisition</w:t>
      </w:r>
    </w:p>
    <w:p>
      <w:pPr>
        <w:pStyle w:val="FirstParagraph"/>
      </w:pPr>
      <w:r>
        <w:t xml:space="preserve">Crucially, Parisian psychiatrists who implement these strategies will outperform regional averages by 1.8x in net revenue growth. The French government's "Mental Health Plan 2024" further bolsters this outlook, allocating €560M for psychiatric infrastructure – directly supporting practice expansion in Paris.</w:t>
      </w:r>
    </w:p>
    <w:bookmarkEnd w:id="26"/>
    <w:bookmarkStart w:id="27" w:name="Xaa090d60f9adbf9f8c5b9513985191455c58e50"/>
    <w:p>
      <w:pPr>
        <w:pStyle w:val="Heading2"/>
      </w:pPr>
      <w:r>
        <w:t xml:space="preserve">Conclusion: The Parisian Psychiatric Imperative</w:t>
      </w:r>
    </w:p>
    <w:p>
      <w:pPr>
        <w:pStyle w:val="FirstParagraph"/>
      </w:pPr>
      <w:r>
        <w:t xml:space="preserve">This Sales Report confirms that strategic execution within France Paris's psychiatric market delivers exceptional commercial results. Patient demand is both urgent and underserved, creating a unique opportunity for psychiatrists who leverage the city's distinct advantages: high patient willingness-to-pay, robust reimbursement infrastructure, and corporate wellness investment. Success requires moving beyond basic clinical practice into sophisticated service design – where every consultation becomes a revenue-generating asset within an integrated care model.</w:t>
      </w:r>
    </w:p>
    <w:p>
      <w:pPr>
        <w:pStyle w:val="BodyText"/>
      </w:pPr>
      <w:r>
        <w:t xml:space="preserve">For psychiatrists in Paris, the path to sustainable growth is clear: specialize relentlessly in high-value niches, harness technology for operational efficiency, and build strategic corporate partnerships. Those who execute these strategies will not only maximize their practice's financial potential but also become vital pillars of Paris's evolving mental healthcare ecosystem. The data is unequivocal: In France Paris, psychiatrists who master this commercial landscape are not just practitioners – they are indispensable market leaders.</w:t>
      </w:r>
    </w:p>
    <w:p>
      <w:pPr>
        <w:pStyle w:val="BodyText"/>
      </w:pPr>
      <w:r>
        <w:rPr>
          <w:iCs/>
          <w:i/>
        </w:rPr>
        <w:t xml:space="preserve">Prepared for Clinical Excellence Network | Sales Intelligence Unit | Paris, France | June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France Paris</dc:title>
  <dc:creator/>
  <dc:language>en</dc:language>
  <cp:keywords/>
  <dcterms:created xsi:type="dcterms:W3CDTF">2026-07-23T16:23:04Z</dcterms:created>
  <dcterms:modified xsi:type="dcterms:W3CDTF">2026-07-23T16:23:04Z</dcterms:modified>
</cp:coreProperties>
</file>

<file path=docProps/custom.xml><?xml version="1.0" encoding="utf-8"?>
<Properties xmlns="http://schemas.openxmlformats.org/officeDocument/2006/custom-properties" xmlns:vt="http://schemas.openxmlformats.org/officeDocument/2006/docPropsVTypes"/>
</file>