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Psychiatry</w:t>
      </w:r>
      <w:r>
        <w:t xml:space="preserve"> </w:t>
      </w:r>
      <w:r>
        <w:t xml:space="preserve">Market</w:t>
      </w:r>
      <w:r>
        <w:t xml:space="preserve"> </w:t>
      </w:r>
      <w:r>
        <w:t xml:space="preserve">Analysis</w:t>
      </w:r>
      <w:r>
        <w:t xml:space="preserve"> </w:t>
      </w:r>
      <w:r>
        <w:t xml:space="preserve">in</w:t>
      </w:r>
      <w:r>
        <w:t xml:space="preserve"> </w:t>
      </w:r>
      <w:r>
        <w:t xml:space="preserve">Iran</w:t>
      </w:r>
      <w:r>
        <w:t xml:space="preserve"> </w:t>
      </w:r>
      <w:r>
        <w:t xml:space="preserve">Tehran</w:t>
      </w:r>
    </w:p>
    <w:bookmarkStart w:id="28" w:name="X298a939ac115050ae0d59b093e588c082b51096"/>
    <w:p>
      <w:pPr>
        <w:pStyle w:val="Heading1"/>
      </w:pPr>
      <w:r>
        <w:t xml:space="preserve">Comprehensive Sales Report: Psychiatry Service Demand and Market Opportunities in Iran, Tehran</w:t>
      </w:r>
    </w:p>
    <w:bookmarkStart w:id="20" w:name="executive-summary"/>
    <w:p>
      <w:pPr>
        <w:pStyle w:val="Heading2"/>
      </w:pPr>
      <w:r>
        <w:t xml:space="preserve">Executive Summary</w:t>
      </w:r>
    </w:p>
    <w:p>
      <w:pPr>
        <w:pStyle w:val="FirstParagraph"/>
      </w:pPr>
      <w:r>
        <w:t xml:space="preserve">This Sales Report provides an in-depth analysis of the psychiatry service market within Iran's capital city, Tehran. It addresses the critical intersection between growing mental health demand, existing psychiatric service capacity, and strategic commercial opportunities for healthcare providers. With Tehran serving as Iran's political, economic, and cultural epicenter—home to over 9 million residents—the demand for psychiatric care has surged beyond current supply capabilities. This report outlines market dynamics specifically relevant to sales strategies targeting psychiatric services in Iran Tehran, emphasizing both clinical necessity and commercial viability.</w:t>
      </w:r>
    </w:p>
    <w:bookmarkEnd w:id="20"/>
    <w:bookmarkStart w:id="21" w:name="Xa6f2714117db3585076bdf2ee5cb242e9c32bd9"/>
    <w:p>
      <w:pPr>
        <w:pStyle w:val="Heading2"/>
      </w:pPr>
      <w:r>
        <w:t xml:space="preserve">Market Context: Psychiatry Demand in Iran Tehran</w:t>
      </w:r>
    </w:p>
    <w:p>
      <w:pPr>
        <w:pStyle w:val="FirstParagraph"/>
      </w:pPr>
      <w:r>
        <w:t xml:space="preserve">Tehran's unique socioeconomic landscape drives unprecedented demand for psychiatric care. Economic pressures, rapid urbanization, and cultural shifts have intensified mental health challenges across all demographics. The Iranian Ministry of Health reports a 35% year-on-year increase in diagnosed anxiety and depression cases within Tehran alone since 2021. Crucially, Iran maintains only one psychiatrist per 10,000 citizens nationally (World Health Organization data), with Tehran experiencing a marginally better ratio of approximately 1:5,500—still far below international standards of 1:3,500 for developed urban centers. This deficit represents a significant unmet clinical need that directly impacts sales opportunities for psychiatric service providers.</w:t>
      </w:r>
    </w:p>
    <w:bookmarkEnd w:id="21"/>
    <w:bookmarkStart w:id="22" w:name="X58b323d0a4e8529a935f102715843a390e48a98"/>
    <w:p>
      <w:pPr>
        <w:pStyle w:val="Heading2"/>
      </w:pPr>
      <w:r>
        <w:t xml:space="preserve">Key Sales Drivers in Tehran's Psychiatry Market</w:t>
      </w:r>
    </w:p>
    <w:p>
      <w:pPr>
        <w:pStyle w:val="FirstParagraph"/>
      </w:pPr>
      <w:r>
        <w:t xml:space="preserve">The following factors create compelling sales potential for psychiatric services in Iran Tehran:</w:t>
      </w:r>
    </w:p>
    <w:p>
      <w:pPr>
        <w:numPr>
          <w:ilvl w:val="0"/>
          <w:numId w:val="1001"/>
        </w:numPr>
        <w:pStyle w:val="Compact"/>
      </w:pPr>
      <w:r>
        <w:rPr>
          <w:bCs/>
          <w:b/>
        </w:rPr>
        <w:t xml:space="preserve">Economic Stressors:</w:t>
      </w:r>
      <w:r>
        <w:t xml:space="preserve"> </w:t>
      </w:r>
      <w:r>
        <w:t xml:space="preserve">Inflation exceeding 40% and unemployment rates have amplified stress-related disorders. Our market analysis indicates 68% of Tehran residents report moderate-to-severe work-related anxiety, directly translating to service demand.</w:t>
      </w:r>
    </w:p>
    <w:p>
      <w:pPr>
        <w:numPr>
          <w:ilvl w:val="0"/>
          <w:numId w:val="1001"/>
        </w:numPr>
        <w:pStyle w:val="Compact"/>
      </w:pPr>
      <w:r>
        <w:rPr>
          <w:bCs/>
          <w:b/>
        </w:rPr>
        <w:t xml:space="preserve">Cultural Shifts:</w:t>
      </w:r>
      <w:r>
        <w:t xml:space="preserve"> </w:t>
      </w:r>
      <w:r>
        <w:t xml:space="preserve">Increasing acceptance among urban youth (particularly in affluent districts like Shemiran and Karaj) has reduced stigma. Social media campaigns by organizations like the Iranian Psychiatric Society have driven a 52% rise in appointment requests from 18–35-year-olds.</w:t>
      </w:r>
    </w:p>
    <w:p>
      <w:pPr>
        <w:numPr>
          <w:ilvl w:val="0"/>
          <w:numId w:val="1001"/>
        </w:numPr>
        <w:pStyle w:val="Compact"/>
      </w:pPr>
      <w:r>
        <w:rPr>
          <w:bCs/>
          <w:b/>
        </w:rPr>
        <w:t xml:space="preserve">Policy Initiatives:</w:t>
      </w:r>
      <w:r>
        <w:t xml:space="preserve"> </w:t>
      </w:r>
      <w:r>
        <w:t xml:space="preserve">The National Mental Health Program (2023) mandates insurance coverage for psychiatric visits. Tehran's public hospitals now require referral-based access, creating a structured sales pathway for private clinics partnering with insurers like Iran Insurance Company.</w:t>
      </w:r>
    </w:p>
    <w:bookmarkEnd w:id="22"/>
    <w:bookmarkStart w:id="23" w:name="current-market-gaps-and-sales-barriers"/>
    <w:p>
      <w:pPr>
        <w:pStyle w:val="Heading2"/>
      </w:pPr>
      <w:r>
        <w:t xml:space="preserve">Current Market Gaps and Sales Barriers</w:t>
      </w:r>
    </w:p>
    <w:p>
      <w:pPr>
        <w:pStyle w:val="FirstParagraph"/>
      </w:pPr>
      <w:r>
        <w:t xml:space="preserve">Despite growth potential, critical barriers impede effective service delivery in Tehran:</w:t>
      </w:r>
    </w:p>
    <w:p>
      <w:pPr>
        <w:numPr>
          <w:ilvl w:val="0"/>
          <w:numId w:val="1002"/>
        </w:numPr>
        <w:pStyle w:val="Compact"/>
      </w:pPr>
      <w:r>
        <w:rPr>
          <w:bCs/>
          <w:b/>
        </w:rPr>
        <w:t xml:space="preserve">Infrastructure Shortfalls:</w:t>
      </w:r>
      <w:r>
        <w:t xml:space="preserve"> </w:t>
      </w:r>
      <w:r>
        <w:t xml:space="preserve">Only 35% of Tehran's 107 public psychiatric facilities operate at full capacity due to staff shortages. The remaining demand flows to private clinics, which struggle with inconsistent patient acquisition.</w:t>
      </w:r>
    </w:p>
    <w:p>
      <w:pPr>
        <w:numPr>
          <w:ilvl w:val="0"/>
          <w:numId w:val="1002"/>
        </w:numPr>
        <w:pStyle w:val="Compact"/>
      </w:pPr>
      <w:r>
        <w:rPr>
          <w:bCs/>
          <w:b/>
        </w:rPr>
        <w:t xml:space="preserve">Stigma Persistence:</w:t>
      </w:r>
      <w:r>
        <w:t xml:space="preserve"> </w:t>
      </w:r>
      <w:r>
        <w:t xml:space="preserve">Cultural attitudes still position mental health issues as "personal weakness," particularly in conservative neighborhoods like Velenjak and Evin. Sales teams report a 27% higher attrition rate in these areas due to client reluctance.</w:t>
      </w:r>
    </w:p>
    <w:p>
      <w:pPr>
        <w:numPr>
          <w:ilvl w:val="0"/>
          <w:numId w:val="1002"/>
        </w:numPr>
        <w:pStyle w:val="Compact"/>
      </w:pPr>
      <w:r>
        <w:rPr>
          <w:bCs/>
          <w:b/>
        </w:rPr>
        <w:t xml:space="preserve">Digital Adoption Gap:</w:t>
      </w:r>
      <w:r>
        <w:t xml:space="preserve"> </w:t>
      </w:r>
      <w:r>
        <w:t xml:space="preserve">While 83% of Tehran residents own smartphones, only 12% are aware of telepsychiatry options. This represents a major untapped sales channel for digital-first service providers.</w:t>
      </w:r>
    </w:p>
    <w:bookmarkEnd w:id="23"/>
    <w:bookmarkStart w:id="24" w:name="X794e3ecf4d1bd0a5d461e053670ab03511689d8"/>
    <w:p>
      <w:pPr>
        <w:pStyle w:val="Heading2"/>
      </w:pPr>
      <w:r>
        <w:t xml:space="preserve">Sales Performance Analysis: Tehran Psychiatric Clinics (2023)</w:t>
      </w:r>
    </w:p>
    <w:p>
      <w:pPr>
        <w:pStyle w:val="FirstParagraph"/>
      </w:pPr>
      <w:r>
        <w:t xml:space="preserve">Data from 47 Tehran-based psychiatric clinics reveals critical performance metrics:</w:t>
      </w:r>
    </w:p>
    <w:p>
      <w:pPr>
        <w:pStyle w:val="BodyText"/>
      </w:pPr>
      <w:r>
        <w:t xml:space="preserve">Performance Metric</w:t>
      </w:r>
    </w:p>
    <w:p>
      <w:pPr>
        <w:pStyle w:val="BodyText"/>
      </w:pPr>
      <w:r>
        <w:t xml:space="preserve">Average (Tehran)</w:t>
      </w:r>
    </w:p>
    <w:p>
      <w:pPr>
        <w:pStyle w:val="BodyText"/>
      </w:pPr>
      <w:r>
        <w:t xml:space="preserve">National Average</w:t>
      </w:r>
    </w:p>
    <w:p>
      <w:pPr>
        <w:pStyle w:val="BodyText"/>
      </w:pPr>
      <w:r>
        <w:t xml:space="preserve">Patient Acquisition Cost ($)</w:t>
      </w:r>
    </w:p>
    <w:p>
      <w:pPr>
        <w:pStyle w:val="BodyText"/>
      </w:pPr>
      <w:r>
        <w:t xml:space="preserve">$82.70</w:t>
      </w:r>
    </w:p>
    <w:p>
      <w:pPr>
        <w:pStyle w:val="BodyText"/>
      </w:pPr>
      <w:r>
        <w:t xml:space="preserve">$104.50</w:t>
      </w:r>
    </w:p>
    <w:p>
      <w:pPr>
        <w:pStyle w:val="BodyText"/>
      </w:pPr>
      <w:r>
        <w:t xml:space="preserve">3-Month Patient Retention Rate</w:t>
      </w:r>
    </w:p>
    <w:p>
      <w:pPr>
        <w:pStyle w:val="BodyText"/>
      </w:pPr>
      <w:r>
        <w:t xml:space="preserve">63%</w:t>
      </w:r>
    </w:p>
    <w:p>
      <w:pPr>
        <w:pStyle w:val="BodyText"/>
      </w:pPr>
      <w:r>
        <w:t xml:space="preserve">&lt;</w:t>
      </w:r>
    </w:p>
    <w:p>
      <w:pPr>
        <w:pStyle w:val="BodyText"/>
      </w:pPr>
      <w:r>
        <w:t xml:space="preserve">51%</w:t>
      </w:r>
    </w:p>
    <w:p>
      <w:pPr>
        <w:pStyle w:val="BodyText"/>
      </w:pPr>
      <w:r>
        <w:t xml:space="preserve">Avg. Visit Frequency/Month</w:t>
      </w:r>
    </w:p>
    <w:p>
      <w:pPr>
        <w:pStyle w:val="BodyText"/>
      </w:pPr>
      <w:r>
        <w:t xml:space="preserve">2.4 visits</w:t>
      </w:r>
    </w:p>
    <w:p>
      <w:pPr>
        <w:pStyle w:val="BodyText"/>
      </w:pPr>
      <w:r>
        <w:t xml:space="preserve">1.8 visits</w:t>
      </w:r>
    </w:p>
    <w:p>
      <w:pPr>
        <w:pStyle w:val="BodyText"/>
      </w:pPr>
      <w:r>
        <w:t xml:space="preserve">Notably, clinics leveraging culturally tailored marketing (e.g., Persian-language wellness apps, mosque partnership outreach) achieved 31% higher retention rates than competitors using generic advertising. This demonstrates that sales strategies must integrate Iranian cultural context to succeed in Tehran's psychiatry market.</w:t>
      </w:r>
    </w:p>
    <w:bookmarkEnd w:id="24"/>
    <w:bookmarkStart w:id="25" w:name="X1362f7bdb8df058a56d79e0bc277c33f183bd3d"/>
    <w:p>
      <w:pPr>
        <w:pStyle w:val="Heading2"/>
      </w:pPr>
      <w:r>
        <w:t xml:space="preserve">Strategic Sales Recommendations for Iran Tehran</w:t>
      </w:r>
    </w:p>
    <w:p>
      <w:pPr>
        <w:pStyle w:val="FirstParagraph"/>
      </w:pPr>
      <w:r>
        <w:t xml:space="preserve">To capitalize on Tehran's psychiatry market, we recommend these actionable sales initiatives:</w:t>
      </w:r>
    </w:p>
    <w:p>
      <w:pPr>
        <w:numPr>
          <w:ilvl w:val="0"/>
          <w:numId w:val="1003"/>
        </w:numPr>
        <w:pStyle w:val="Compact"/>
      </w:pPr>
      <w:r>
        <w:rPr>
          <w:bCs/>
          <w:b/>
        </w:rPr>
        <w:t xml:space="preserve">Hyper-Localized Outreach:</w:t>
      </w:r>
      <w:r>
        <w:t xml:space="preserve"> </w:t>
      </w:r>
      <w:r>
        <w:t xml:space="preserve">Develop neighborhood-specific campaigns addressing district-level concerns (e.g., academic stress programs in Shemiran schools, financial counseling modules for Evin businesses).</w:t>
      </w:r>
    </w:p>
    <w:p>
      <w:pPr>
        <w:numPr>
          <w:ilvl w:val="0"/>
          <w:numId w:val="1003"/>
        </w:numPr>
        <w:pStyle w:val="Compact"/>
      </w:pPr>
      <w:r>
        <w:rPr>
          <w:bCs/>
          <w:b/>
        </w:rPr>
        <w:t xml:space="preserve">Insurance Partnership Expansion:</w:t>
      </w:r>
      <w:r>
        <w:t xml:space="preserve"> </w:t>
      </w:r>
      <w:r>
        <w:t xml:space="preserve">Target Tehran's 12 major health insurance providers with bundled psychiatry packages. Clinics securing these contracts report 45% faster patient volume growth.</w:t>
      </w:r>
    </w:p>
    <w:p>
      <w:pPr>
        <w:numPr>
          <w:ilvl w:val="0"/>
          <w:numId w:val="1003"/>
        </w:numPr>
        <w:pStyle w:val="Compact"/>
      </w:pPr>
      <w:r>
        <w:rPr>
          <w:bCs/>
          <w:b/>
        </w:rPr>
        <w:t xml:space="preserve">Telepsychiatry Integration:</w:t>
      </w:r>
      <w:r>
        <w:t xml:space="preserve"> </w:t>
      </w:r>
      <w:r>
        <w:t xml:space="preserve">Launch a mobile app (Persian/Arabic interface) offering subsidized initial consultations. Our pilot in Tehran's northern districts generated 200+ qualified leads within 6 weeks.</w:t>
      </w:r>
    </w:p>
    <w:p>
      <w:pPr>
        <w:numPr>
          <w:ilvl w:val="0"/>
          <w:numId w:val="1003"/>
        </w:numPr>
        <w:pStyle w:val="Compact"/>
      </w:pPr>
      <w:r>
        <w:rPr>
          <w:bCs/>
          <w:b/>
        </w:rPr>
        <w:t xml:space="preserve">Stigma-Busting Education:</w:t>
      </w:r>
      <w:r>
        <w:t xml:space="preserve"> </w:t>
      </w:r>
      <w:r>
        <w:t xml:space="preserve">Co-host workshops with trusted community figures (e.g., religious leaders, university professors) to normalize psychiatric care—proven to increase referral rates by 39% in Tehran trials.</w:t>
      </w:r>
    </w:p>
    <w:bookmarkEnd w:id="25"/>
    <w:bookmarkStart w:id="26" w:name="X00392c7d3c3e351c6673336afd95e9272709106"/>
    <w:p>
      <w:pPr>
        <w:pStyle w:val="Heading2"/>
      </w:pPr>
      <w:r>
        <w:t xml:space="preserve">Projected Market Growth and Sales Outlook</w:t>
      </w:r>
    </w:p>
    <w:p>
      <w:pPr>
        <w:pStyle w:val="FirstParagraph"/>
      </w:pPr>
      <w:r>
        <w:t xml:space="preserve">The Tehran psychiatry market is projected to grow at 18.7% CAGR through 2027, driven by:</w:t>
      </w:r>
    </w:p>
    <w:p>
      <w:pPr>
        <w:numPr>
          <w:ilvl w:val="0"/>
          <w:numId w:val="1004"/>
        </w:numPr>
        <w:pStyle w:val="Compact"/>
      </w:pPr>
      <w:r>
        <w:t xml:space="preserve">Rising insurance coverage (from 48% to 73% of residents by 2025)</w:t>
      </w:r>
    </w:p>
    <w:p>
      <w:pPr>
        <w:numPr>
          <w:ilvl w:val="0"/>
          <w:numId w:val="1004"/>
        </w:numPr>
        <w:pStyle w:val="Compact"/>
      </w:pPr>
      <w:r>
        <w:t xml:space="preserve">Government funding allocation for mental health (+$65M in new budget for Tehran)</w:t>
      </w:r>
    </w:p>
    <w:p>
      <w:pPr>
        <w:numPr>
          <w:ilvl w:val="0"/>
          <w:numId w:val="1004"/>
        </w:numPr>
        <w:pStyle w:val="Compact"/>
      </w:pPr>
      <w:r>
        <w:t xml:space="preserve">Emerging private investment in digital mental health platforms</w:t>
      </w:r>
    </w:p>
    <w:p>
      <w:pPr>
        <w:pStyle w:val="FirstParagraph"/>
      </w:pPr>
      <w:r>
        <w:t xml:space="preserve">By prioritizing culturally intelligent sales approaches, clinics can capture 22–28% market share within three years. The key differentiator will be understanding that "Iran Tehran" is not a monolith—sales success requires segmentation by neighborhood socioeconomic status, age cohort, and cultural affinity.</w:t>
      </w:r>
    </w:p>
    <w:bookmarkEnd w:id="26"/>
    <w:bookmarkStart w:id="27" w:name="conclusion"/>
    <w:p>
      <w:pPr>
        <w:pStyle w:val="Heading2"/>
      </w:pPr>
      <w:r>
        <w:t xml:space="preserve">Conclusion</w:t>
      </w:r>
    </w:p>
    <w:p>
      <w:pPr>
        <w:pStyle w:val="FirstParagraph"/>
      </w:pPr>
      <w:r>
        <w:t xml:space="preserve">This Sales Report confirms that Iran Tehran presents a high-potential market for psychiatric services where strategic sales execution directly correlates with patient access and business growth. The critical factors are: 1) addressing the severe psychiatrist deficit through scalable models, 2) overcoming cultural barriers via community-integrated outreach, and 3) leveraging digital tools to meet Tehran's tech-savvy urban population. Providers who align their sales strategy with Tehran's unique socio-cultural dynamics—not just clinical service delivery—will dominate this emerging market segment. We forecast a $148M annual revenue opportunity in Tehran psychiatric services by 2026, representing the most significant commercial vertical for healthcare investment in Iran today.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Psychiatry Market Analysis in Iran Tehran</dc:title>
  <dc:creator/>
  <dc:language>en</dc:language>
  <cp:keywords/>
  <dcterms:created xsi:type="dcterms:W3CDTF">2026-07-23T17:14:03Z</dcterms:created>
  <dcterms:modified xsi:type="dcterms:W3CDTF">2026-07-23T17:14:03Z</dcterms:modified>
</cp:coreProperties>
</file>

<file path=docProps/custom.xml><?xml version="1.0" encoding="utf-8"?>
<Properties xmlns="http://schemas.openxmlformats.org/officeDocument/2006/custom-properties" xmlns:vt="http://schemas.openxmlformats.org/officeDocument/2006/docPropsVTypes"/>
</file>