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Annual</w:t>
      </w:r>
      <w:r>
        <w:t xml:space="preserve"> </w:t>
      </w:r>
      <w:r>
        <w:t xml:space="preserve">Sales</w:t>
      </w:r>
      <w:r>
        <w:t xml:space="preserve"> </w:t>
      </w:r>
      <w:r>
        <w:t xml:space="preserve">Report:</w:t>
      </w:r>
      <w:r>
        <w:t xml:space="preserve"> </w:t>
      </w:r>
      <w:r>
        <w:t xml:space="preserve">Psychiatric</w:t>
      </w:r>
      <w:r>
        <w:t xml:space="preserve"> </w:t>
      </w:r>
      <w:r>
        <w:t xml:space="preserve">Services</w:t>
      </w:r>
      <w:r>
        <w:t xml:space="preserve"> </w:t>
      </w:r>
      <w:r>
        <w:t xml:space="preserve">Performance</w:t>
      </w:r>
      <w:r>
        <w:t xml:space="preserve"> </w:t>
      </w:r>
      <w:r>
        <w:t xml:space="preserve">in</w:t>
      </w:r>
      <w:r>
        <w:t xml:space="preserve"> </w:t>
      </w:r>
      <w:r>
        <w:t xml:space="preserve">United</w:t>
      </w:r>
      <w:r>
        <w:t xml:space="preserve"> </w:t>
      </w:r>
      <w:r>
        <w:t xml:space="preserve">Kingdom</w:t>
      </w:r>
      <w:r>
        <w:t xml:space="preserve"> </w:t>
      </w:r>
      <w:r>
        <w:t xml:space="preserve">London</w:t>
      </w:r>
    </w:p>
    <w:bookmarkStart w:id="28" w:name="Xeb2d2626f0b7660827e42b344e8a0cd85499fd5"/>
    <w:p>
      <w:pPr>
        <w:pStyle w:val="Heading1"/>
      </w:pPr>
      <w:r>
        <w:t xml:space="preserve">ANNUAL SALES REPORT: PSYCHIATRIC SERVICES PERFORMANCE IN LONDON, UNITED KINGDOM</w:t>
      </w:r>
    </w:p>
    <w:bookmarkStart w:id="20" w:name="executive-summary"/>
    <w:p>
      <w:pPr>
        <w:pStyle w:val="Heading2"/>
      </w:pPr>
      <w:r>
        <w:t xml:space="preserve">Executive Summary</w:t>
      </w:r>
    </w:p>
    <w:p>
      <w:pPr>
        <w:pStyle w:val="FirstParagraph"/>
      </w:pPr>
      <w:r>
        <w:t xml:space="preserve">This comprehensive Sales Report details the operational and financial performance of psychiatric services across London, United Kingdom for the fiscal year 2023-2024. As a leading provider of mental healthcare in the capital, our practice has navigated significant industry challenges while achieving notable growth in patient acquisition and service delivery. This report specifically examines how our team of psychiatrists has driven revenue growth within the competitive London market, adhering to stringent UK clinical standards while expanding access to critical psychiatric care.</w:t>
      </w:r>
    </w:p>
    <w:bookmarkEnd w:id="20"/>
    <w:bookmarkStart w:id="21" w:name="key-performance-indicators"/>
    <w:p>
      <w:pPr>
        <w:pStyle w:val="Heading2"/>
      </w:pPr>
      <w:r>
        <w:t xml:space="preserve">Key Performance Indicators</w:t>
      </w:r>
    </w:p>
    <w:p>
      <w:pPr>
        <w:pStyle w:val="FirstParagraph"/>
      </w:pPr>
      <w:r>
        <w:t xml:space="preserve">The past year witnessed a 23% increase in total patient consultations compared to 2022, translating directly to £4.7 million in revenue generated from psychiatric services across London. This growth significantly outpaces the national average for mental health services (15%). Crucially, our psychiatrist-led initiatives have driven this success through strategic service expansion and enhanced patient retention strategies.</w:t>
      </w:r>
    </w:p>
    <w:p>
      <w:pPr>
        <w:pStyle w:val="BodyText"/>
      </w:pPr>
      <w:r>
        <w:rPr>
          <w:bCs/>
          <w:b/>
        </w:rPr>
        <w:t xml:space="preserve">Geographical Performance Breakdown:</w:t>
      </w:r>
    </w:p>
    <w:p>
      <w:pPr>
        <w:numPr>
          <w:ilvl w:val="0"/>
          <w:numId w:val="1001"/>
        </w:numPr>
        <w:pStyle w:val="Compact"/>
      </w:pPr>
      <w:r>
        <w:t xml:space="preserve">Central London (West End &amp; City): 32% of total revenue (£1.5M), reflecting high demand for specialist psychiatric care in commercial hubs</w:t>
      </w:r>
    </w:p>
    <w:p>
      <w:pPr>
        <w:numPr>
          <w:ilvl w:val="0"/>
          <w:numId w:val="1001"/>
        </w:numPr>
        <w:pStyle w:val="Compact"/>
      </w:pPr>
      <w:r>
        <w:t xml:space="preserve">London Boroughs (Barking, Hackney, Newham): 41% of revenue (£1.9M), demonstrating strong community mental health penetration</w:t>
      </w:r>
    </w:p>
    <w:p>
      <w:pPr>
        <w:numPr>
          <w:ilvl w:val="0"/>
          <w:numId w:val="1001"/>
        </w:numPr>
        <w:pStyle w:val="Compact"/>
      </w:pPr>
      <w:r>
        <w:t xml:space="preserve">Private Practice Clinics (Mayfair, Kensington): 27% of revenue (£1.3M), driven by premium psychiatrist consultations</w:t>
      </w:r>
    </w:p>
    <w:bookmarkEnd w:id="21"/>
    <w:bookmarkStart w:id="22" w:name="Xbad8f93394421a46dbeb5bd567402da825640b4"/>
    <w:p>
      <w:pPr>
        <w:pStyle w:val="Heading2"/>
      </w:pPr>
      <w:r>
        <w:t xml:space="preserve">Psychiatrist-Driven Sales Performance Analysis</w:t>
      </w:r>
    </w:p>
    <w:p>
      <w:pPr>
        <w:pStyle w:val="FirstParagraph"/>
      </w:pPr>
      <w:r>
        <w:t xml:space="preserve">Our sales growth is intrinsically linked to the clinical expertise and patient engagement strategies implemented by our specialist psychiatrists. Each psychiatrist in our London practice contributes to revenue through three primary channels:</w:t>
      </w:r>
    </w:p>
    <w:p>
      <w:pPr>
        <w:numPr>
          <w:ilvl w:val="0"/>
          <w:numId w:val="1002"/>
        </w:numPr>
        <w:pStyle w:val="Compact"/>
      </w:pPr>
      <w:r>
        <w:rPr>
          <w:bCs/>
          <w:b/>
        </w:rPr>
        <w:t xml:space="preserve">Primary Consultations:</w:t>
      </w:r>
      <w:r>
        <w:t xml:space="preserve"> </w:t>
      </w:r>
      <w:r>
        <w:t xml:space="preserve">Average 14.7 appointments/week per psychiatrist, with 82% repeat consultations indicating high patient satisfaction.</w:t>
      </w:r>
    </w:p>
    <w:p>
      <w:pPr>
        <w:numPr>
          <w:ilvl w:val="0"/>
          <w:numId w:val="1002"/>
        </w:numPr>
        <w:pStyle w:val="Compact"/>
      </w:pPr>
      <w:r>
        <w:rPr>
          <w:bCs/>
          <w:b/>
        </w:rPr>
        <w:t xml:space="preserve">Specialist Service Packages:</w:t>
      </w:r>
      <w:r>
        <w:t xml:space="preserve"> </w:t>
      </w:r>
      <w:r>
        <w:t xml:space="preserve">Development of tailored psychiatric programs (e.g., "Anxiety Management Suite," "Perinatal Mental Health Pathway") generating 35% of total revenue.</w:t>
      </w:r>
    </w:p>
    <w:p>
      <w:pPr>
        <w:numPr>
          <w:ilvl w:val="0"/>
          <w:numId w:val="1002"/>
        </w:numPr>
        <w:pStyle w:val="Compact"/>
      </w:pPr>
      <w:r>
        <w:rPr>
          <w:bCs/>
          <w:b/>
        </w:rPr>
        <w:t xml:space="preserve">Collaborative Care Models:</w:t>
      </w:r>
      <w:r>
        <w:t xml:space="preserve"> </w:t>
      </w:r>
      <w:r>
        <w:t xml:space="preserve">Partnerships with GPs across London's NHS clusters, resulting in 287 new referrals from primary care networks in Q4 2023 alone.</w:t>
      </w:r>
    </w:p>
    <w:p>
      <w:pPr>
        <w:pStyle w:val="FirstParagraph"/>
      </w:pPr>
      <w:r>
        <w:t xml:space="preserve">The clinical credibility of our psychiatrists remains paramount. As noted in the Royal College of Psychiatrists' annual review (London chapter), "Patient trust is the cornerstone of psychiatric practice efficiency." Our psychiatrists' average patient satisfaction score (9.4/10) directly correlates with 68% referral rate from satisfied patients – a metric 15% above London mental health sector benchmarks.</w:t>
      </w:r>
    </w:p>
    <w:bookmarkEnd w:id="22"/>
    <w:bookmarkStart w:id="23" w:name="X593f1a1f29fec9f68390ff0edac0e8ac17a9f60"/>
    <w:p>
      <w:pPr>
        <w:pStyle w:val="Heading2"/>
      </w:pPr>
      <w:r>
        <w:t xml:space="preserve">Market Context: United Kingdom London Mental Health Landscape</w:t>
      </w:r>
    </w:p>
    <w:p>
      <w:pPr>
        <w:pStyle w:val="FirstParagraph"/>
      </w:pPr>
      <w:r>
        <w:t xml:space="preserve">The psychiatric services market in United Kingdom London operates within unique parameters. With over 9 million residents and rising demand for mental healthcare, the region faces critical challenges including NHS waiting lists (average 14 weeks for psychiatric assessment) and growing private sector competition. Our Sales Report identifies two key strategic opportunities:</w:t>
      </w:r>
    </w:p>
    <w:p>
      <w:pPr>
        <w:numPr>
          <w:ilvl w:val="0"/>
          <w:numId w:val="1003"/>
        </w:numPr>
        <w:pStyle w:val="Compact"/>
      </w:pPr>
      <w:r>
        <w:rPr>
          <w:iCs/>
          <w:i/>
        </w:rPr>
        <w:t xml:space="preserve">Addressing NHS Gaps:</w:t>
      </w:r>
      <w:r>
        <w:t xml:space="preserve"> </w:t>
      </w:r>
      <w:r>
        <w:t xml:space="preserve">We've secured 27% of our revenue through commissioned NHS contracts, filling critical gaps in London's mental health infrastructure where psychiatrist-to-population ratios remain below WHO recommendations.</w:t>
      </w:r>
    </w:p>
    <w:p>
      <w:pPr>
        <w:numPr>
          <w:ilvl w:val="0"/>
          <w:numId w:val="1003"/>
        </w:numPr>
        <w:pStyle w:val="Compact"/>
      </w:pPr>
      <w:r>
        <w:rPr>
          <w:iCs/>
          <w:i/>
        </w:rPr>
        <w:t xml:space="preserve">Private Sector Differentiation:</w:t>
      </w:r>
      <w:r>
        <w:t xml:space="preserve"> </w:t>
      </w:r>
      <w:r>
        <w:t xml:space="preserve">By focusing on niche psychiatric specialties (e.g., neurodiversity assessment, trauma-informed care), we've captured a 12% market share in London's premium mental health sector – exceeding industry averages by 3.5x.</w:t>
      </w:r>
    </w:p>
    <w:bookmarkEnd w:id="23"/>
    <w:bookmarkStart w:id="24" w:name="revenue-stream-evolution"/>
    <w:p>
      <w:pPr>
        <w:pStyle w:val="Heading2"/>
      </w:pPr>
      <w:r>
        <w:t xml:space="preserve">Revenue Stream Evolution</w:t>
      </w:r>
    </w:p>
    <w:p>
      <w:pPr>
        <w:pStyle w:val="FirstParagraph"/>
      </w:pPr>
      <w:r>
        <w:t xml:space="preserve">Our psychiatric service revenue model has undergone significant transformation in the United Kingdom London context. Traditional consultation-based income now accounts for only 58% of total revenue, while innovative streams show exponential growth:</w:t>
      </w:r>
    </w:p>
    <w:tbl>
      <w:tblPr>
        <w:tblStyle w:val="Table"/>
        <w:tblW w:type="auto" w:w="0"/>
        <w:tblLook w:firstRow="1" w:lastRow="0" w:firstColumn="0" w:lastColumn="0" w:noHBand="0" w:noVBand="0" w:val="0020"/>
      </w:tblPr>
      <w:tblGrid>
        <w:gridCol w:w="1320"/>
        <w:gridCol w:w="1320"/>
        <w:gridCol w:w="1320"/>
        <w:gridCol w:w="1320"/>
        <w:gridCol w:w="1320"/>
        <w:gridCol w:w="1320"/>
      </w:tblGrid>
      <w:tr>
        <w:trPr>
          <w:tblHeader w:val="true"/>
        </w:trPr>
        <w:tc>
          <w:tcPr/>
          <w:p>
            <w:pPr>
              <w:pStyle w:val="Compact"/>
              <w:jc w:val="left"/>
            </w:pPr>
            <w:r>
              <w:t xml:space="preserve">Revenue Stream</w:t>
            </w:r>
          </w:p>
        </w:tc>
        <w:tc>
          <w:tcPr/>
          <w:p>
            <w:pPr>
              <w:pStyle w:val="Compact"/>
              <w:jc w:val="left"/>
            </w:pPr>
            <w:r>
              <w:t xml:space="preserve">2022 (%)</w:t>
            </w:r>
          </w:p>
        </w:tc>
        <w:tc>
          <w:tcPr/>
          <w:p>
            <w:pPr>
              <w:pStyle w:val="Compact"/>
              <w:jc w:val="left"/>
            </w:pPr>
            <w:r>
              <w:t xml:space="preserve">2023 (%)</w:t>
            </w:r>
          </w:p>
        </w:tc>
        <w:tc>
          <w:tcPr/>
          <w:p>
            <w:pPr>
              <w:pStyle w:val="Compact"/>
              <w:jc w:val="left"/>
            </w:pPr>
            <w:r>
              <w:t xml:space="preserve">Growth Rate</w:t>
            </w:r>
          </w:p>
        </w:tc>
        <w:tc>
          <w:tcPr/>
          <w:p>
            <w:pPr>
              <w:pStyle w:val="Compact"/>
            </w:pPr>
          </w:p>
        </w:tc>
        <w:tc>
          <w:tcPr/>
          <w:p>
            <w:pPr>
              <w:pStyle w:val="Compact"/>
            </w:pPr>
          </w:p>
        </w:tc>
      </w:tr>
      <w:tr>
        <w:tc>
          <w:tcPr/>
          <w:p>
            <w:pPr>
              <w:pStyle w:val="Compact"/>
              <w:jc w:val="left"/>
            </w:pPr>
            <w:r>
              <w:t xml:space="preserve">Standard Psychiatric Consultation (NHS/Private)</w:t>
            </w:r>
          </w:p>
        </w:tc>
        <w:tc>
          <w:tcPr/>
          <w:p>
            <w:pPr>
              <w:pStyle w:val="Compact"/>
              <w:jc w:val="left"/>
            </w:pPr>
            <w:r>
              <w:t xml:space="preserve">67%</w:t>
            </w:r>
          </w:p>
        </w:tc>
        <w:tc>
          <w:tcPr/>
          <w:p>
            <w:pPr>
              <w:pStyle w:val="Compact"/>
              <w:jc w:val="left"/>
            </w:pPr>
            <w:r>
              <w:t xml:space="preserve">58%</w:t>
            </w:r>
          </w:p>
        </w:tc>
        <w:tc>
          <w:tcPr/>
          <w:p>
            <w:pPr>
              <w:pStyle w:val="Compact"/>
              <w:jc w:val="left"/>
            </w:pPr>
            <w:r>
              <w:t xml:space="preserve">-9.0%</w:t>
            </w:r>
          </w:p>
        </w:tc>
        <w:tc>
          <w:tcPr/>
          <w:p>
            <w:pPr>
              <w:pStyle w:val="Compact"/>
            </w:pPr>
          </w:p>
        </w:tc>
        <w:tc>
          <w:tcPr/>
          <w:p>
            <w:pPr>
              <w:pStyle w:val="Compact"/>
            </w:pPr>
          </w:p>
        </w:tc>
      </w:tr>
      <w:tr>
        <w:tc>
          <w:tcPr/>
          <w:p>
            <w:pPr>
              <w:pStyle w:val="Compact"/>
              <w:jc w:val="left"/>
            </w:pPr>
            <w:r>
              <w:t xml:space="preserve">Tailored Psychiatric Packages</w:t>
            </w:r>
          </w:p>
        </w:tc>
        <w:tc>
          <w:tcPr/>
          <w:p>
            <w:pPr>
              <w:pStyle w:val="Compact"/>
              <w:jc w:val="left"/>
            </w:pPr>
            <w:r>
              <w:t xml:space="preserve">21%</w:t>
            </w:r>
          </w:p>
        </w:tc>
        <w:tc>
          <w:tcPr/>
          <w:p>
            <w:pPr>
              <w:pStyle w:val="Compact"/>
              <w:jc w:val="left"/>
            </w:pPr>
            <w:r>
              <w:t xml:space="preserve">35%</w:t>
            </w:r>
          </w:p>
        </w:tc>
        <w:tc>
          <w:tcPr/>
          <w:p>
            <w:pPr>
              <w:pStyle w:val="Compact"/>
            </w:pPr>
          </w:p>
        </w:tc>
        <w:tc>
          <w:tcPr/>
          <w:p>
            <w:pPr>
              <w:pStyle w:val="Compact"/>
              <w:jc w:val="left"/>
            </w:pPr>
            <w:r>
              <w:t xml:space="preserve">+66.7%</w:t>
            </w:r>
          </w:p>
        </w:tc>
        <w:tc>
          <w:tcPr/>
          <w:p>
            <w:pPr>
              <w:pStyle w:val="Compact"/>
            </w:pPr>
          </w:p>
        </w:tc>
      </w:tr>
      <w:tr>
        <w:tc>
          <w:tcPr/>
          <w:p>
            <w:pPr>
              <w:pStyle w:val="Compact"/>
              <w:jc w:val="left"/>
            </w:pPr>
            <w:r>
              <w:t xml:space="preserve">Corporate Mental Health Partnerships (London Businesses)</w:t>
            </w:r>
          </w:p>
        </w:tc>
        <w:tc>
          <w:tcPr/>
          <w:p>
            <w:pPr>
              <w:pStyle w:val="Compact"/>
              <w:jc w:val="left"/>
            </w:pPr>
            <w:r>
              <w:t xml:space="preserve">8%</w:t>
            </w:r>
          </w:p>
        </w:tc>
        <w:tc>
          <w:tcPr/>
          <w:p>
            <w:pPr>
              <w:pStyle w:val="Compact"/>
              <w:jc w:val="left"/>
            </w:pPr>
            <w:r>
              <w:t xml:space="preserve">18%</w:t>
            </w:r>
          </w:p>
        </w:tc>
        <w:tc>
          <w:tcPr/>
          <w:p>
            <w:pPr>
              <w:pStyle w:val="Compact"/>
              <w:jc w:val="left"/>
            </w:pPr>
            <w:r>
              <w:t xml:space="preserve">+125%</w:t>
            </w:r>
          </w:p>
        </w:tc>
        <w:tc>
          <w:tcPr/>
          <w:p>
            <w:pPr>
              <w:pStyle w:val="Compact"/>
            </w:pPr>
          </w:p>
        </w:tc>
        <w:tc>
          <w:tcPr/>
          <w:p>
            <w:pPr>
              <w:pStyle w:val="Compact"/>
            </w:pPr>
          </w:p>
        </w:tc>
      </w:tr>
      <w:tr>
        <w:tc>
          <w:tcPr/>
          <w:p>
            <w:pPr>
              <w:pStyle w:val="Compact"/>
              <w:jc w:val="left"/>
            </w:pPr>
            <w:r>
              <w:t xml:space="preserve">Total</w:t>
            </w:r>
          </w:p>
        </w:tc>
        <w:tc>
          <w:tcPr/>
          <w:p>
            <w:pPr>
              <w:pStyle w:val="Compact"/>
              <w:jc w:val="left"/>
            </w:pPr>
            <w:r>
              <w:t xml:space="preserve">100%</w:t>
            </w:r>
          </w:p>
        </w:tc>
        <w:tc>
          <w:tcPr/>
          <w:p>
            <w:pPr>
              <w:pStyle w:val="Compact"/>
              <w:jc w:val="left"/>
            </w:pPr>
            <w:r>
              <w:t xml:space="preserve">100%</w:t>
            </w:r>
          </w:p>
        </w:tc>
        <w:tc>
          <w:tcPr/>
          <w:p>
            <w:pPr>
              <w:pStyle w:val="Compact"/>
            </w:pPr>
          </w:p>
        </w:tc>
        <w:tc>
          <w:tcPr/>
          <w:p>
            <w:pPr>
              <w:pStyle w:val="Compact"/>
            </w:pPr>
          </w:p>
        </w:tc>
        <w:tc>
          <w:tcPr/>
          <w:p>
            <w:pPr>
              <w:pStyle w:val="Compact"/>
            </w:pPr>
          </w:p>
        </w:tc>
      </w:tr>
    </w:tbl>
    <w:p>
      <w:pPr>
        <w:pStyle w:val="BodyText"/>
      </w:pPr>
      <w:r>
        <w:t xml:space="preserve">The surge in corporate partnerships (including 9 FTSE 100 companies) demonstrates how London businesses recognize the value of psychiatrist-led mental health solutions for workforce productivity. This represents a strategic shift from reactive to proactive psychiatric service sales.</w:t>
      </w:r>
    </w:p>
    <w:bookmarkEnd w:id="24"/>
    <w:bookmarkStart w:id="25" w:name="challenges-and-strategic-response"/>
    <w:p>
      <w:pPr>
        <w:pStyle w:val="Heading2"/>
      </w:pPr>
      <w:r>
        <w:t xml:space="preserve">Challenges and Strategic Response</w:t>
      </w:r>
    </w:p>
    <w:p>
      <w:pPr>
        <w:pStyle w:val="FirstParagraph"/>
      </w:pPr>
      <w:r>
        <w:t xml:space="preserve">Key challenges identified in our Sales Report include:</w:t>
      </w:r>
    </w:p>
    <w:p>
      <w:pPr>
        <w:numPr>
          <w:ilvl w:val="0"/>
          <w:numId w:val="1004"/>
        </w:numPr>
        <w:pStyle w:val="Compact"/>
      </w:pPr>
      <w:r>
        <w:rPr>
          <w:iCs/>
          <w:i/>
        </w:rPr>
        <w:t xml:space="preserve">NHS Funding Constraints:</w:t>
      </w:r>
      <w:r>
        <w:t xml:space="preserve"> </w:t>
      </w:r>
      <w:r>
        <w:t xml:space="preserve">Reduced commission rates for psychiatrist services by 18% in London boroughs. *Response:* Diversified into high-margin private packages with corporate clients.</w:t>
      </w:r>
    </w:p>
    <w:p>
      <w:pPr>
        <w:numPr>
          <w:ilvl w:val="0"/>
          <w:numId w:val="1004"/>
        </w:numPr>
        <w:pStyle w:val="Compact"/>
      </w:pPr>
      <w:r>
        <w:rPr>
          <w:iCs/>
          <w:i/>
        </w:rPr>
        <w:t xml:space="preserve">Psychiatrist Recruitment Shortage:</w:t>
      </w:r>
      <w:r>
        <w:t xml:space="preserve"> </w:t>
      </w:r>
      <w:r>
        <w:t xml:space="preserve">29% vacancy rate among psychiatric clinicians in London (NHS England data). *Response:* Implemented a "Trainee Psychiatrist Accelerator Program" reducing recruitment time by 63%.</w:t>
      </w:r>
    </w:p>
    <w:p>
      <w:pPr>
        <w:numPr>
          <w:ilvl w:val="0"/>
          <w:numId w:val="1004"/>
        </w:numPr>
        <w:pStyle w:val="Compact"/>
      </w:pPr>
      <w:r>
        <w:rPr>
          <w:iCs/>
          <w:i/>
        </w:rPr>
        <w:t xml:space="preserve">Patient Acquisition Costs:</w:t>
      </w:r>
      <w:r>
        <w:t xml:space="preserve"> </w:t>
      </w:r>
      <w:r>
        <w:t xml:space="preserve">Rising digital marketing expenses for psychiatric services. *Response:* Developed referral partnerships with 42 London-based GP surgeries, cutting acquisition costs by £184K annually.</w:t>
      </w:r>
    </w:p>
    <w:bookmarkEnd w:id="25"/>
    <w:bookmarkStart w:id="26" w:name="Xfbc7a37e6acdce20cf1a0335c02cbe0acf9a4b0"/>
    <w:p>
      <w:pPr>
        <w:pStyle w:val="Heading2"/>
      </w:pPr>
      <w:r>
        <w:t xml:space="preserve">Future Outlook: Strategic Priorities for Psychiatrist Services in London</w:t>
      </w:r>
    </w:p>
    <w:p>
      <w:pPr>
        <w:pStyle w:val="FirstParagraph"/>
      </w:pPr>
      <w:r>
        <w:t xml:space="preserve">Based on this Sales Report analysis, we recommend three priority initiatives for the next fiscal year:</w:t>
      </w:r>
    </w:p>
    <w:p>
      <w:pPr>
        <w:numPr>
          <w:ilvl w:val="0"/>
          <w:numId w:val="1005"/>
        </w:numPr>
        <w:pStyle w:val="Compact"/>
      </w:pPr>
      <w:r>
        <w:rPr>
          <w:bCs/>
          <w:b/>
        </w:rPr>
        <w:t xml:space="preserve">Telepsychiatry Expansion:</w:t>
      </w:r>
      <w:r>
        <w:t xml:space="preserve"> </w:t>
      </w:r>
      <w:r>
        <w:t xml:space="preserve">Launching a London-wide virtual psychiatric service to reduce waiting lists, targeting 30% of new patients by Q2 2025. This directly addresses NHS demand gaps while increasing psychiatrist utilization rates.</w:t>
      </w:r>
    </w:p>
    <w:p>
      <w:pPr>
        <w:numPr>
          <w:ilvl w:val="0"/>
          <w:numId w:val="1005"/>
        </w:numPr>
        <w:pStyle w:val="Compact"/>
      </w:pPr>
      <w:r>
        <w:rPr>
          <w:bCs/>
          <w:b/>
        </w:rPr>
        <w:t xml:space="preserve">Community Mental Health Hubs:</w:t>
      </w:r>
      <w:r>
        <w:t xml:space="preserve"> </w:t>
      </w:r>
      <w:r>
        <w:t xml:space="preserve">Establishing two new psychiatry-focused community centers in North and East London to improve access equity across the United Kingdom capital.</w:t>
      </w:r>
    </w:p>
    <w:p>
      <w:pPr>
        <w:numPr>
          <w:ilvl w:val="0"/>
          <w:numId w:val="1005"/>
        </w:numPr>
        <w:pStyle w:val="Compact"/>
      </w:pPr>
      <w:r>
        <w:rPr>
          <w:bCs/>
          <w:b/>
        </w:rPr>
        <w:t xml:space="preserve">Premium Psychiatrist Branding:</w:t>
      </w:r>
      <w:r>
        <w:t xml:space="preserve"> </w:t>
      </w:r>
      <w:r>
        <w:t xml:space="preserve">Developing a "London Psychiatrist Endorsed" certification program to differentiate our clinicians, with target of 40% revenue growth from premium psychiatric services by 2025.</w:t>
      </w:r>
    </w:p>
    <w:bookmarkEnd w:id="26"/>
    <w:bookmarkStart w:id="27" w:name="conclusion"/>
    <w:p>
      <w:pPr>
        <w:pStyle w:val="Heading2"/>
      </w:pPr>
      <w:r>
        <w:t xml:space="preserve">Conclusion</w:t>
      </w:r>
    </w:p>
    <w:p>
      <w:pPr>
        <w:pStyle w:val="FirstParagraph"/>
      </w:pPr>
      <w:r>
        <w:t xml:space="preserve">This Sales Report confirms that psychiatric services in London, United Kingdom represent a high-potential market segment where clinical excellence directly drives commercial success. Our psychiatrist-led approach – combining medical expertise with strategic service development – has enabled sustainable growth despite sector challenges. The data clearly demonstrates that in the competitive landscape of mental healthcare, the value proposition of a skilled psychiatrist extends far beyond clinical care into revenue generation and community impact.</w:t>
      </w:r>
    </w:p>
    <w:p>
      <w:pPr>
        <w:pStyle w:val="BodyText"/>
      </w:pPr>
      <w:r>
        <w:t xml:space="preserve">As we move forward, our commitment to enhancing psychiatric service delivery across London remains unwavering. This Sales Report provides the strategic foundation for expanding our psychiatrist network while maintaining the highest clinical standards required by patients and regulators in the United Kingdom. The path forward requires continued investment in psychiatrist talent development, innovative service design, and collaborative partnerships – ensuring that London's mental healthcare needs are met with excellence.</w:t>
      </w:r>
    </w:p>
    <w:p>
      <w:pPr>
        <w:pStyle w:val="BodyText"/>
      </w:pPr>
      <w:r>
        <w:rPr>
          <w:bCs/>
          <w:b/>
        </w:rPr>
        <w:t xml:space="preserve">Prepared By:</w:t>
      </w:r>
      <w:r>
        <w:t xml:space="preserve"> </w:t>
      </w:r>
      <w:r>
        <w:t xml:space="preserve">Executive Leadership Team |</w:t>
      </w:r>
      <w:r>
        <w:t xml:space="preserve"> </w:t>
      </w:r>
      <w:r>
        <w:rPr>
          <w:bCs/>
          <w:b/>
        </w:rPr>
        <w:t xml:space="preserve">Date:</w:t>
      </w:r>
      <w:r>
        <w:t xml:space="preserve"> </w:t>
      </w:r>
      <w:r>
        <w:t xml:space="preserve">15 October 2024 |</w:t>
      </w:r>
      <w:r>
        <w:t xml:space="preserve"> </w:t>
      </w:r>
      <w:r>
        <w:rPr>
          <w:bCs/>
          <w:b/>
        </w:rPr>
        <w:t xml:space="preserve">Report Period:</w:t>
      </w:r>
      <w:r>
        <w:t xml:space="preserve"> </w:t>
      </w:r>
      <w:r>
        <w:t xml:space="preserve">January 1, 2023 - December 31, 2023</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Annual Sales Report: Psychiatric Services Performance in United Kingdom London</dc:title>
  <dc:creator/>
  <dc:language>en</dc:language>
  <cp:keywords/>
  <dcterms:created xsi:type="dcterms:W3CDTF">2026-07-24T18:57:06Z</dcterms:created>
  <dcterms:modified xsi:type="dcterms:W3CDTF">2026-07-24T18:57:06Z</dcterms:modified>
</cp:coreProperties>
</file>

<file path=docProps/custom.xml><?xml version="1.0" encoding="utf-8"?>
<Properties xmlns="http://schemas.openxmlformats.org/officeDocument/2006/custom-properties" xmlns:vt="http://schemas.openxmlformats.org/officeDocument/2006/docPropsVTypes"/>
</file>