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Practice</w:t>
      </w:r>
      <w:r>
        <w:t xml:space="preserve"> </w:t>
      </w:r>
      <w:r>
        <w:t xml:space="preserve">Performance</w:t>
      </w:r>
      <w:r>
        <w:t xml:space="preserve"> </w:t>
      </w:r>
      <w:r>
        <w:t xml:space="preserve">-</w:t>
      </w:r>
      <w:r>
        <w:t xml:space="preserve"> </w:t>
      </w:r>
      <w:r>
        <w:t xml:space="preserve">United</w:t>
      </w:r>
      <w:r>
        <w:t xml:space="preserve"> </w:t>
      </w:r>
      <w:r>
        <w:t xml:space="preserve">States</w:t>
      </w:r>
      <w:r>
        <w:t xml:space="preserve"> </w:t>
      </w:r>
      <w:r>
        <w:t xml:space="preserve">Miami</w:t>
      </w:r>
    </w:p>
    <w:bookmarkStart w:id="33" w:name="Xe7f04c2566872fe7d789d20c9e86da792a236b9"/>
    <w:p>
      <w:pPr>
        <w:pStyle w:val="Heading1"/>
      </w:pPr>
      <w:r>
        <w:t xml:space="preserve">Comprehensive Sales Report: Psychiatrist Practice Performance in United States Miami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Florida Mental Health Network</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metrics of our psychiatric practice across the United States Miami market during Q3 2023. The report confirms exceptional growth in patient acquisition, revenue generation, and community engagement for our psychiatrist-led services. Miami's unique demographic landscape—characterized by a rapidly growing Hispanic population, high tourism volume, and significant military presence—has driven unprecedented demand for specialized mental health care. Our practice achieved a 24% year-over-year increase in patient appointments with a 92% satisfaction rate, solidifying our position as a leader in United States Miami's psychiatric services sector.</w:t>
      </w:r>
    </w:p>
    <w:bookmarkEnd w:id="20"/>
    <w:bookmarkStart w:id="24" w:name="ii.-key-performance-indicators"/>
    <w:p>
      <w:pPr>
        <w:pStyle w:val="Heading2"/>
      </w:pPr>
      <w:r>
        <w:t xml:space="preserve">II. Key Performance Indicators</w:t>
      </w:r>
    </w:p>
    <w:bookmarkStart w:id="21" w:name="a.-patient-acquisition-growth"/>
    <w:p>
      <w:pPr>
        <w:pStyle w:val="Heading3"/>
      </w:pPr>
      <w:r>
        <w:t xml:space="preserve">A. Patient Acquisition Growth</w:t>
      </w:r>
    </w:p>
    <w:p>
      <w:pPr>
        <w:pStyle w:val="FirstParagraph"/>
      </w:pPr>
      <w:r>
        <w:t xml:space="preserve">Our psychiatrist practice in United States Miami added 147 new patients during Q3, representing a 31% surge from Q2. This growth is directly attributed to strategic partnerships with Miami-Dade County Health Services and targeted outreach at South Beach wellness centers. Notably, referrals from local emergency departments increased by 42%, highlighting our integration within Miami's acute care network. The Hispanic patient demographic grew by 38% (now comprising 52% of our total patient base), reflecting successful culturally competent service delivery—a critical factor in United States Miami's diverse community.</w:t>
      </w:r>
    </w:p>
    <w:bookmarkEnd w:id="21"/>
    <w:bookmarkStart w:id="22" w:name="b.-revenue-performance"/>
    <w:p>
      <w:pPr>
        <w:pStyle w:val="Heading3"/>
      </w:pPr>
      <w:r>
        <w:t xml:space="preserve">B. Revenue Performance</w:t>
      </w:r>
    </w:p>
    <w:p>
      <w:pPr>
        <w:pStyle w:val="FirstParagraph"/>
      </w:pPr>
      <w:r>
        <w:t xml:space="preserve">Revenue reached $486,750 for Q3 (up 27% YoY), with psychiatry services accounting for 94% of total practice revenue. This outpaces the national average of 18% growth in psychiatric practices (American Psychiatric Association, 2023). Key drivers included:</w:t>
      </w:r>
    </w:p>
    <w:p>
      <w:pPr>
        <w:numPr>
          <w:ilvl w:val="0"/>
          <w:numId w:val="1001"/>
        </w:numPr>
        <w:pStyle w:val="Compact"/>
      </w:pPr>
      <w:r>
        <w:t xml:space="preserve">Telehealth consultations: +58% YoY (Miami's tourist season drove demand for remote care)</w:t>
      </w:r>
    </w:p>
    <w:p>
      <w:pPr>
        <w:numPr>
          <w:ilvl w:val="0"/>
          <w:numId w:val="1001"/>
        </w:numPr>
        <w:pStyle w:val="Compact"/>
      </w:pPr>
      <w:r>
        <w:t xml:space="preserve">Corporate wellness contracts: Secured 3 new agreements with Miami-based tech firms</w:t>
      </w:r>
    </w:p>
    <w:p>
      <w:pPr>
        <w:numPr>
          <w:ilvl w:val="0"/>
          <w:numId w:val="1001"/>
        </w:numPr>
        <w:pStyle w:val="Compact"/>
      </w:pPr>
      <w:r>
        <w:t xml:space="preserve">Insurance partnerships: Expanded Medicaid coverage to include 2 additional plans serving Miami communities</w:t>
      </w:r>
    </w:p>
    <w:bookmarkEnd w:id="22"/>
    <w:bookmarkStart w:id="23" w:name="c.-patient-retention-satisfaction"/>
    <w:p>
      <w:pPr>
        <w:pStyle w:val="Heading3"/>
      </w:pPr>
      <w:r>
        <w:t xml:space="preserve">C. Patient Retention &amp; Satisfaction</w:t>
      </w:r>
    </w:p>
    <w:p>
      <w:pPr>
        <w:pStyle w:val="FirstParagraph"/>
      </w:pPr>
      <w:r>
        <w:t xml:space="preserve">Our psychiatrist team maintained a 92% patient retention rate (vs. industry average of 78%) with an NPS score of +68. This excellence is driven by Miami-specific service adaptations:</w:t>
      </w:r>
    </w:p>
    <w:p>
      <w:pPr>
        <w:numPr>
          <w:ilvl w:val="0"/>
          <w:numId w:val="1002"/>
        </w:numPr>
        <w:pStyle w:val="Compact"/>
      </w:pPr>
      <w:r>
        <w:t xml:space="preserve">Bilingual psychiatrists (English/Spanish) available for all appointments</w:t>
      </w:r>
    </w:p>
    <w:p>
      <w:pPr>
        <w:numPr>
          <w:ilvl w:val="0"/>
          <w:numId w:val="1002"/>
        </w:numPr>
        <w:pStyle w:val="Compact"/>
      </w:pPr>
      <w:r>
        <w:t xml:space="preserve">Flexible scheduling accommodating Miami's tourism peak seasons</w:t>
      </w:r>
    </w:p>
    <w:p>
      <w:pPr>
        <w:numPr>
          <w:ilvl w:val="0"/>
          <w:numId w:val="1002"/>
        </w:numPr>
        <w:pStyle w:val="Compact"/>
      </w:pPr>
      <w:r>
        <w:t xml:space="preserve">Emergency walk-in slots during hurricane season preparedness periods</w:t>
      </w:r>
    </w:p>
    <w:bookmarkEnd w:id="23"/>
    <w:bookmarkEnd w:id="24"/>
    <w:bookmarkStart w:id="27" w:name="iii.-miami-specific-market-analysis"/>
    <w:p>
      <w:pPr>
        <w:pStyle w:val="Heading2"/>
      </w:pPr>
      <w:r>
        <w:t xml:space="preserve">III. Miami-Specific Market Analysis</w:t>
      </w:r>
    </w:p>
    <w:bookmarkStart w:id="25" w:name="X868bed341c933972edf887132ac05f38ba8d1b2"/>
    <w:p>
      <w:pPr>
        <w:pStyle w:val="Heading3"/>
      </w:pPr>
      <w:r>
        <w:t xml:space="preserve">A. Demographic Advantage in United States Miami</w:t>
      </w:r>
    </w:p>
    <w:p>
      <w:pPr>
        <w:pStyle w:val="FirstParagraph"/>
      </w:pPr>
      <w:r>
        <w:t xml:space="preserve">Miami's population of 2.7 million includes 68% non-English speakers and a high concentration of individuals aged 25-44—our core demographic for psychiatric services. The city's status as a top destination for medical tourism (1.8M international visitors annually) has created unique opportunities for our psychiatrist practice to serve both residents and transient populations through specialized travel mental health packages.</w:t>
      </w:r>
    </w:p>
    <w:bookmarkEnd w:id="25"/>
    <w:bookmarkStart w:id="26" w:name="b.-competitive-landscape"/>
    <w:p>
      <w:pPr>
        <w:pStyle w:val="Heading3"/>
      </w:pPr>
      <w:r>
        <w:t xml:space="preserve">B. Competitive Landscape</w:t>
      </w:r>
    </w:p>
    <w:p>
      <w:pPr>
        <w:pStyle w:val="FirstParagraph"/>
      </w:pPr>
      <w:r>
        <w:t xml:space="preserve">While Miami has 47 psychiatric practices, our focus on integrated care (combining medication management with therapy) differentiates us from competitors offering only medication-only services. Our practice now holds 19% market share in the United States Miami psychiatric services sector—surpassing the next competitor by 8 percentage points. This leadership is particularly significant given Miami's high physician-to-population ratio (1:2,300) compared to national average (1:5,400), indicating underserved mental health needs.</w:t>
      </w:r>
    </w:p>
    <w:bookmarkEnd w:id="26"/>
    <w:bookmarkEnd w:id="27"/>
    <w:bookmarkStart w:id="30" w:name="iv.-challenges-strategic-initiatives"/>
    <w:p>
      <w:pPr>
        <w:pStyle w:val="Heading2"/>
      </w:pPr>
      <w:r>
        <w:t xml:space="preserve">IV. Challenges &amp; Strategic Initiatives</w:t>
      </w:r>
    </w:p>
    <w:bookmarkStart w:id="28" w:name="a.-current-challenges-in-miami-market"/>
    <w:p>
      <w:pPr>
        <w:pStyle w:val="Heading3"/>
      </w:pPr>
      <w:r>
        <w:t xml:space="preserve">A. Current Challenges in Miami Market</w:t>
      </w:r>
    </w:p>
    <w:p>
      <w:pPr>
        <w:pStyle w:val="FirstParagraph"/>
      </w:pPr>
      <w:r>
        <w:t xml:space="preserve">The primary challenge remains inconsistent insurance reimbursement rates across Miami's diverse provider network. Additionally, the seasonal influx of tourists creates unpredictable demand spikes during Q1 (winter) and Q4 (holiday seasons), requiring flexible staffing models that our psychiatrist team has successfully implemented.</w:t>
      </w:r>
    </w:p>
    <w:bookmarkEnd w:id="28"/>
    <w:bookmarkStart w:id="29" w:name="b.-miami-specific-growth-initiatives"/>
    <w:p>
      <w:pPr>
        <w:pStyle w:val="Heading3"/>
      </w:pPr>
      <w:r>
        <w:t xml:space="preserve">B. Miami-Specific Growth Initiatives</w:t>
      </w:r>
    </w:p>
    <w:p>
      <w:pPr>
        <w:pStyle w:val="FirstParagraph"/>
      </w:pPr>
      <w:r>
        <w:t xml:space="preserve">Based on this Sales Report analysis, we recommend:</w:t>
      </w:r>
    </w:p>
    <w:p>
      <w:pPr>
        <w:numPr>
          <w:ilvl w:val="0"/>
          <w:numId w:val="1003"/>
        </w:numPr>
        <w:pStyle w:val="Compact"/>
      </w:pPr>
      <w:r>
        <w:rPr>
          <w:bCs/>
          <w:b/>
        </w:rPr>
        <w:t xml:space="preserve">Military Mental Health Partnership:</w:t>
      </w:r>
      <w:r>
        <w:t xml:space="preserve"> </w:t>
      </w:r>
      <w:r>
        <w:t xml:space="preserve">Formalize contracts with Naval Air Station Fort Lauderdale to serve military families (28% of Miami's population)</w:t>
      </w:r>
    </w:p>
    <w:p>
      <w:pPr>
        <w:numPr>
          <w:ilvl w:val="0"/>
          <w:numId w:val="1003"/>
        </w:numPr>
        <w:pStyle w:val="Compact"/>
      </w:pPr>
      <w:r>
        <w:rPr>
          <w:bCs/>
          <w:b/>
        </w:rPr>
        <w:t xml:space="preserve">Tropical Wellness Program:</w:t>
      </w:r>
      <w:r>
        <w:t xml:space="preserve"> </w:t>
      </w:r>
      <w:r>
        <w:t xml:space="preserve">Launch seasonal packages addressing "travel anxiety" and hurricane-related PTSD specific to United States Miami residents</w:t>
      </w:r>
    </w:p>
    <w:p>
      <w:pPr>
        <w:numPr>
          <w:ilvl w:val="0"/>
          <w:numId w:val="1003"/>
        </w:numPr>
        <w:pStyle w:val="Compact"/>
      </w:pPr>
      <w:r>
        <w:rPr>
          <w:bCs/>
          <w:b/>
        </w:rPr>
        <w:t xml:space="preserve">School-Based Outreach:</w:t>
      </w:r>
      <w:r>
        <w:t xml:space="preserve"> </w:t>
      </w:r>
      <w:r>
        <w:t xml:space="preserve">Partner with Miami-Dade Public Schools for adolescent mental health screenings (addressing rising teen depression rates in the metro area)</w:t>
      </w:r>
    </w:p>
    <w:bookmarkEnd w:id="29"/>
    <w:bookmarkEnd w:id="30"/>
    <w:bookmarkStart w:id="31" w:name="v.-financial-outlook-recommendations"/>
    <w:p>
      <w:pPr>
        <w:pStyle w:val="Heading2"/>
      </w:pPr>
      <w:r>
        <w:t xml:space="preserve">V. Financial Outlook &amp; Recommendations</w:t>
      </w:r>
    </w:p>
    <w:p>
      <w:pPr>
        <w:pStyle w:val="FirstParagraph"/>
      </w:pPr>
      <w:r>
        <w:t xml:space="preserve">This Sales Report confirms that our psychiatrist practice is positioned for sustained growth within United States Miami's $1.8B mental health market (Miami Business Journal, 2023). Projected Q4 revenue will reach $575,000—driven by holiday season demand and new corporate contracts. Critical recommendations include:</w:t>
      </w:r>
    </w:p>
    <w:p>
      <w:pPr>
        <w:numPr>
          <w:ilvl w:val="0"/>
          <w:numId w:val="1004"/>
        </w:numPr>
        <w:pStyle w:val="Compact"/>
      </w:pPr>
      <w:r>
        <w:t xml:space="preserve">Allocate $45,000 to expand telehealth infrastructure for Miami's remote communities (e.g., Everglades area)</w:t>
      </w:r>
    </w:p>
    <w:p>
      <w:pPr>
        <w:numPr>
          <w:ilvl w:val="0"/>
          <w:numId w:val="1004"/>
        </w:numPr>
        <w:pStyle w:val="Compact"/>
      </w:pPr>
      <w:r>
        <w:t xml:space="preserve">Hire two additional Spanish-speaking psychiatrists to meet Hispanic patient growth projections</w:t>
      </w:r>
    </w:p>
    <w:p>
      <w:pPr>
        <w:numPr>
          <w:ilvl w:val="0"/>
          <w:numId w:val="1004"/>
        </w:numPr>
        <w:pStyle w:val="Compact"/>
      </w:pPr>
      <w:r>
        <w:t xml:space="preserve">Develop a marketing campaign targeting Miami's growing Cuban-American demographic with culturally tailored messaging</w:t>
      </w:r>
    </w:p>
    <w:bookmarkEnd w:id="31"/>
    <w:bookmarkStart w:id="32" w:name="vi.-conclusion"/>
    <w:p>
      <w:pPr>
        <w:pStyle w:val="Heading2"/>
      </w:pPr>
      <w:r>
        <w:t xml:space="preserve">VI. Conclusion</w:t>
      </w:r>
    </w:p>
    <w:p>
      <w:pPr>
        <w:pStyle w:val="FirstParagraph"/>
      </w:pPr>
      <w:r>
        <w:t xml:space="preserve">The performance metrics detailed in this Sales Report demonstrate that our psychiatrist practice has successfully leveraged Miami's unique socioeconomic dynamics to achieve market leadership in United States mental health services. The city's demographic diversity, tourism economy, and high demand for accessible psychiatric care have created an ideal environment for growth—evidenced by our 27% revenue increase and 92% patient satisfaction rate. As we continue to refine our culturally competent service delivery model within the United States Miami context, this practice is poised to become the regional benchmark for psychiatric excellence in Florida and beyond. We project a 35% YOY growth rate for 2024, positioning us as a critical healthcare partner in Miami's community wellness ecosystem.</w:t>
      </w:r>
    </w:p>
    <w:p>
      <w:pPr>
        <w:pStyle w:val="BodyText"/>
      </w:pPr>
      <w:r>
        <w:rPr>
          <w:bCs/>
          <w:b/>
        </w:rPr>
        <w:t xml:space="preserve">Prepared By:</w:t>
      </w:r>
      <w:r>
        <w:t xml:space="preserve"> </w:t>
      </w:r>
      <w:r>
        <w:t xml:space="preserve">Alex Morgan, Practice Growth Director</w:t>
      </w:r>
      <w:r>
        <w:br/>
      </w:r>
      <w:r>
        <w:rPr>
          <w:bCs/>
          <w:b/>
        </w:rPr>
        <w:t xml:space="preserve">Contact:</w:t>
      </w:r>
      <w:r>
        <w:t xml:space="preserve"> </w:t>
      </w:r>
      <w:r>
        <w:t xml:space="preserve">amorgan@floridamh.com | (305) 555-7890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Practice Performance - United States Miami</dc:title>
  <dc:creator/>
  <dc:language>en</dc:language>
  <cp:keywords/>
  <dcterms:created xsi:type="dcterms:W3CDTF">2026-07-24T07:55:50Z</dcterms:created>
  <dcterms:modified xsi:type="dcterms:W3CDTF">2026-07-24T07:55:50Z</dcterms:modified>
</cp:coreProperties>
</file>

<file path=docProps/custom.xml><?xml version="1.0" encoding="utf-8"?>
<Properties xmlns="http://schemas.openxmlformats.org/officeDocument/2006/custom-properties" xmlns:vt="http://schemas.openxmlformats.org/officeDocument/2006/docPropsVTypes"/>
</file>