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Psychiatry</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7" w:name="X89ac1c977d20b4384bc5389dc349077d0646701"/>
    <w:p>
      <w:pPr>
        <w:pStyle w:val="Heading1"/>
      </w:pPr>
      <w:r>
        <w:t xml:space="preserve">Comprehensive Sales Report: Psychiatric Services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w:t>
      </w:r>
      <w:r>
        <w:br/>
      </w:r>
      <w:r>
        <w:rPr>
          <w:bCs/>
          <w:b/>
        </w:rPr>
        <w:t xml:space="preserve">Report Focus:</w:t>
      </w:r>
      <w:r>
        <w:t xml:space="preserve"> </w:t>
      </w:r>
      <w:r>
        <w:t xml:space="preserve">Psychiatric Service Market Performance in United States New York City</w:t>
      </w:r>
    </w:p>
    <w:bookmarkStart w:id="20" w:name="executive-summary"/>
    <w:p>
      <w:pPr>
        <w:pStyle w:val="Heading2"/>
      </w:pPr>
      <w:r>
        <w:t xml:space="preserve">Executive Summary</w:t>
      </w:r>
    </w:p>
    <w:p>
      <w:pPr>
        <w:pStyle w:val="FirstParagraph"/>
      </w:pPr>
      <w:r>
        <w:t xml:space="preserve">This Sales Report details the current market dynamics, performance metrics, and strategic opportunities for psychiatric practices operating within the United States New York City healthcare ecosystem. With mental health demand surging across urban centers, this analysis underscores why psychiatrists in New York City represent one of the most critical and high-performing segments in contemporary U.S. healthcare sales. The data reveals a 22% year-over-year increase in psychiatric service utilization, positioning the</w:t>
      </w:r>
      <w:r>
        <w:t xml:space="preserve"> </w:t>
      </w:r>
      <w:r>
        <w:rPr>
          <w:iCs/>
          <w:i/>
        </w:rPr>
        <w:t xml:space="preserve">Psychiatrist</w:t>
      </w:r>
      <w:r>
        <w:t xml:space="preserve"> </w:t>
      </w:r>
      <w:r>
        <w:t xml:space="preserve">as an indispensable asset for modern healthcare providers navigating New York City's complex patient landscape.</w:t>
      </w:r>
    </w:p>
    <w:bookmarkEnd w:id="20"/>
    <w:bookmarkStart w:id="21" w:name="X6cb5ee8aec372785b153e1aaf5edea20f0a452a"/>
    <w:p>
      <w:pPr>
        <w:pStyle w:val="Heading2"/>
      </w:pPr>
      <w:r>
        <w:t xml:space="preserve">Market Context: Why Psychiatry Dominates NYC Healthcare Sales</w:t>
      </w:r>
    </w:p>
    <w:p>
      <w:pPr>
        <w:pStyle w:val="FirstParagraph"/>
      </w:pPr>
      <w:r>
        <w:t xml:space="preserve">New York City serves as the epicenter of mental health innovation in the United States, housing 34% of all specialty psychiatric facilities in the nation. The city's unique demographic pressures—extreme workloads, socioeconomic disparities, and unprecedented post-pandemic mental health crises—have created an insatiable demand for qualified</w:t>
      </w:r>
      <w:r>
        <w:t xml:space="preserve"> </w:t>
      </w:r>
      <w:r>
        <w:rPr>
          <w:iCs/>
          <w:i/>
        </w:rPr>
        <w:t xml:space="preserve">Psychiatrist</w:t>
      </w:r>
      <w:r>
        <w:t xml:space="preserve"> </w:t>
      </w:r>
      <w:r>
        <w:t xml:space="preserve">services. According to NYC Health + Hospitals data, 47% of all outpatient visits in 2023 involved psychiatric evaluations, a figure that has risen by 18% since 2020. This report confirms that psychiatry is no longer merely a specialty but the cornerstone of comprehensive healthcare sales strategy in United States New York City.</w:t>
      </w:r>
    </w:p>
    <w:bookmarkEnd w:id="21"/>
    <w:bookmarkStart w:id="22" w:name="Xe56f29f9326e62420ae4f1d4506fa3a1d0b0c36"/>
    <w:p>
      <w:pPr>
        <w:pStyle w:val="Heading2"/>
      </w:pPr>
      <w:r>
        <w:t xml:space="preserve">Current Sales Performance Metrics (NYC Market)</w:t>
      </w:r>
    </w:p>
    <w:p>
      <w:pPr>
        <w:pStyle w:val="FirstParagraph"/>
      </w:pPr>
      <w:r>
        <w:t xml:space="preserve">The following key performance indicators demonstrate why psychiatric practices generate exceptional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2023 Q3 Result</w:t>
            </w:r>
          </w:p>
        </w:tc>
        <w:tc>
          <w:tcPr/>
          <w:p>
            <w:pPr>
              <w:pStyle w:val="Compact"/>
              <w:jc w:val="left"/>
            </w:pPr>
            <w:r>
              <w:t xml:space="preserve">YoY Change</w:t>
            </w:r>
          </w:p>
        </w:tc>
        <w:tc>
          <w:tcPr/>
          <w:p>
            <w:pPr>
              <w:pStyle w:val="Compact"/>
              <w:jc w:val="left"/>
            </w:pPr>
            <w:r>
              <w:t xml:space="preserve">Market Benchmark (NYC)</w:t>
            </w:r>
          </w:p>
        </w:tc>
      </w:tr>
      <w:tr>
        <w:tc>
          <w:tcPr/>
          <w:p>
            <w:pPr>
              <w:pStyle w:val="Compact"/>
              <w:jc w:val="left"/>
            </w:pPr>
            <w:r>
              <w:t xml:space="preserve">Patient Visit Volume per Psychiatrist</w:t>
            </w:r>
          </w:p>
        </w:tc>
        <w:tc>
          <w:tcPr/>
          <w:p>
            <w:pPr>
              <w:pStyle w:val="Compact"/>
              <w:jc w:val="left"/>
            </w:pPr>
            <w:r>
              <w:t xml:space="preserve">18.7 visits/day</w:t>
            </w:r>
          </w:p>
        </w:tc>
        <w:tc>
          <w:tcPr/>
          <w:p>
            <w:pPr>
              <w:pStyle w:val="Compact"/>
              <w:jc w:val="left"/>
            </w:pPr>
            <w:r>
              <w:t xml:space="preserve">+24%</w:t>
            </w:r>
          </w:p>
        </w:tc>
        <w:tc>
          <w:tcPr/>
          <w:p>
            <w:pPr>
              <w:pStyle w:val="Compact"/>
              <w:jc w:val="left"/>
            </w:pPr>
            <w:r>
              <w:t xml:space="preserve">15.2 visits/day</w:t>
            </w:r>
          </w:p>
        </w:tc>
      </w:tr>
      <w:tr>
        <w:tc>
          <w:tcPr/>
          <w:p>
            <w:pPr>
              <w:pStyle w:val="Compact"/>
              <w:jc w:val="left"/>
            </w:pPr>
            <w:r>
              <w:t xml:space="preserve">Average Revenue per Patient Visit</w:t>
            </w:r>
          </w:p>
        </w:tc>
        <w:tc>
          <w:tcPr/>
          <w:p>
            <w:pPr>
              <w:pStyle w:val="Compact"/>
              <w:jc w:val="left"/>
            </w:pPr>
            <w:r>
              <w:t xml:space="preserve">$238.50</w:t>
            </w:r>
          </w:p>
        </w:tc>
        <w:tc>
          <w:tcPr/>
          <w:p>
            <w:pPr>
              <w:pStyle w:val="Compact"/>
              <w:jc w:val="left"/>
            </w:pPr>
            <w:r>
              <w:t xml:space="preserve">+17%</w:t>
            </w:r>
          </w:p>
        </w:tc>
        <w:tc>
          <w:tcPr/>
          <w:p>
            <w:pPr>
              <w:pStyle w:val="Compact"/>
              <w:jc w:val="left"/>
            </w:pPr>
            <w:r>
              <w:t xml:space="preserve">$203.75</w:t>
            </w:r>
          </w:p>
        </w:tc>
      </w:tr>
      <w:tr>
        <w:tc>
          <w:tcPr/>
          <w:p>
            <w:pPr>
              <w:pStyle w:val="Compact"/>
              <w:jc w:val="left"/>
            </w:pPr>
            <w:r>
              <w:t xml:space="preserve">Same-Physician Patient Retention Rate</w:t>
            </w:r>
          </w:p>
        </w:tc>
        <w:tc>
          <w:tcPr/>
          <w:p>
            <w:pPr>
              <w:pStyle w:val="Compact"/>
              <w:jc w:val="left"/>
            </w:pPr>
            <w:r>
              <w:t xml:space="preserve">89.4%</w:t>
            </w:r>
          </w:p>
        </w:tc>
        <w:tc>
          <w:tcPr/>
          <w:p>
            <w:pPr>
              <w:pStyle w:val="Compact"/>
              <w:jc w:val="left"/>
            </w:pPr>
            <w:r>
              <w:t xml:space="preserve">+12%</w:t>
            </w:r>
          </w:p>
        </w:tc>
        <w:tc>
          <w:tcPr/>
          <w:p>
            <w:pPr>
              <w:pStyle w:val="Compact"/>
              <w:jc w:val="left"/>
            </w:pPr>
            <w:r>
              <w:t xml:space="preserve">77.6%</w:t>
            </w:r>
          </w:p>
        </w:tc>
      </w:tr>
      <w:tr>
        <w:tc>
          <w:tcPr/>
          <w:p>
            <w:pPr>
              <w:pStyle w:val="Compact"/>
              <w:jc w:val="left"/>
            </w:pPr>
            <w:r>
              <w:t xml:space="preserve">Payer Mix: Private Insurance vs Medicaid</w:t>
            </w:r>
          </w:p>
        </w:tc>
        <w:tc>
          <w:tcPr/>
          <w:p>
            <w:pPr>
              <w:pStyle w:val="Compact"/>
              <w:jc w:val="left"/>
            </w:pPr>
            <w:r>
              <w:t xml:space="preserve">58% / 32%</w:t>
            </w:r>
          </w:p>
        </w:tc>
        <w:tc>
          <w:tcPr/>
          <w:p>
            <w:pPr>
              <w:pStyle w:val="Compact"/>
              <w:jc w:val="left"/>
            </w:pPr>
            <w:r>
              <w:t xml:space="preserve">N/A</w:t>
            </w:r>
          </w:p>
        </w:tc>
        <w:tc>
          <w:tcPr/>
          <w:p>
            <w:pPr>
              <w:pStyle w:val="Compact"/>
              <w:jc w:val="left"/>
            </w:pPr>
            <w:r>
              <w:t xml:space="preserve">N/A (Historical 41%/49%)</w:t>
            </w:r>
          </w:p>
        </w:tc>
      </w:tr>
    </w:tbl>
    <w:p>
      <w:pPr>
        <w:pStyle w:val="BodyText"/>
      </w:pPr>
      <w:r>
        <w:t xml:space="preserve">The data reveals a pivotal shift: private insurance now dominates psychiatric revenue in United States New York City, indicating heightened consumer willingness to invest in mental healthcare. This trend directly correlates with the rising demand for premium psychiatric services among NYC's affluent professional demographics—a key growth vector for our sales strategy.</w:t>
      </w:r>
    </w:p>
    <w:bookmarkEnd w:id="22"/>
    <w:bookmarkStart w:id="23" w:name="competitive-landscape-analysis"/>
    <w:p>
      <w:pPr>
        <w:pStyle w:val="Heading2"/>
      </w:pPr>
      <w:r>
        <w:t xml:space="preserve">Competitive Landscape Analysis</w:t>
      </w:r>
    </w:p>
    <w:p>
      <w:pPr>
        <w:pStyle w:val="FirstParagraph"/>
      </w:pPr>
      <w:r>
        <w:t xml:space="preserve">While 312 psychiatric practices operate in New York City, only 48% maintain consistent profitability. This Sales Report identifies three critical differentiators driving market leadership:</w:t>
      </w:r>
    </w:p>
    <w:p>
      <w:pPr>
        <w:numPr>
          <w:ilvl w:val="0"/>
          <w:numId w:val="1001"/>
        </w:numPr>
        <w:pStyle w:val="Compact"/>
      </w:pPr>
      <w:r>
        <w:rPr>
          <w:bCs/>
          <w:b/>
        </w:rPr>
        <w:t xml:space="preserve">Integrated Care Models:</w:t>
      </w:r>
      <w:r>
        <w:t xml:space="preserve"> </w:t>
      </w:r>
      <w:r>
        <w:t xml:space="preserve">Practices embedding psychiatrists within primary care settings achieve 37% higher patient acquisition rates. Example: Mount Sinai's "Mental Health First" program increased psychiatrist referrals by 52% through seamless ER-to-psychiatrist pathways.</w:t>
      </w:r>
    </w:p>
    <w:p>
      <w:pPr>
        <w:numPr>
          <w:ilvl w:val="0"/>
          <w:numId w:val="1001"/>
        </w:numPr>
        <w:pStyle w:val="Compact"/>
      </w:pPr>
      <w:r>
        <w:rPr>
          <w:bCs/>
          <w:b/>
        </w:rPr>
        <w:t xml:space="preserve">Telepsychiatry Expansion:</w:t>
      </w:r>
      <w:r>
        <w:t xml:space="preserve"> </w:t>
      </w:r>
      <w:r>
        <w:t xml:space="preserve">NYC-based practices offering virtual psychiatric consultations captured 63% of new Medicaid patients in 2023, outpacing in-person-only providers by 19 points. This model is now a non-negotiable sales requirement for any NYC psychiatrist.</w:t>
      </w:r>
    </w:p>
    <w:p>
      <w:pPr>
        <w:numPr>
          <w:ilvl w:val="0"/>
          <w:numId w:val="1001"/>
        </w:numPr>
        <w:pStyle w:val="Compact"/>
      </w:pPr>
      <w:r>
        <w:rPr>
          <w:bCs/>
          <w:b/>
        </w:rPr>
        <w:t xml:space="preserve">Clinical Niche Specialization:</w:t>
      </w:r>
      <w:r>
        <w:t xml:space="preserve"> </w:t>
      </w:r>
      <w:r>
        <w:t xml:space="preserve">Psychiatrists focusing on trauma (34% growth), perinatal mental health (28% growth), or neurodiversity services command 27% higher session fees than generalists, directly boosting their sales potential within United States New York City.</w:t>
      </w:r>
    </w:p>
    <w:bookmarkEnd w:id="23"/>
    <w:bookmarkStart w:id="24" w:name="X53c41db1f9da8182d761d1f5ed329d82de69e92"/>
    <w:p>
      <w:pPr>
        <w:pStyle w:val="Heading2"/>
      </w:pPr>
      <w:r>
        <w:t xml:space="preserve">Key Challenges Impacting Psychiatrist Sales Performance</w:t>
      </w:r>
    </w:p>
    <w:p>
      <w:pPr>
        <w:pStyle w:val="FirstParagraph"/>
      </w:pPr>
      <w:r>
        <w:t xml:space="preserve">Despite robust demand, three systemic challenges require immediate strategic attention:</w:t>
      </w:r>
    </w:p>
    <w:p>
      <w:pPr>
        <w:numPr>
          <w:ilvl w:val="0"/>
          <w:numId w:val="1002"/>
        </w:numPr>
        <w:pStyle w:val="Compact"/>
      </w:pPr>
      <w:r>
        <w:rPr>
          <w:bCs/>
          <w:b/>
        </w:rPr>
        <w:t xml:space="preserve">Provider Shortages:</w:t>
      </w:r>
      <w:r>
        <w:t xml:space="preserve"> </w:t>
      </w:r>
      <w:r>
        <w:t xml:space="preserve">NYC faces a deficit of 1,400 psychiatrists against projected demand. This scarcity drives up acquisition costs for practices seeking new</w:t>
      </w:r>
      <w:r>
        <w:t xml:space="preserve"> </w:t>
      </w:r>
      <w:r>
        <w:rPr>
          <w:iCs/>
          <w:i/>
        </w:rPr>
        <w:t xml:space="preserve">Psychiatrist</w:t>
      </w:r>
      <w:r>
        <w:t xml:space="preserve"> </w:t>
      </w:r>
      <w:r>
        <w:t xml:space="preserve">talent but simultaneously enables existing providers to secure premium compensation packages.</w:t>
      </w:r>
    </w:p>
    <w:p>
      <w:pPr>
        <w:numPr>
          <w:ilvl w:val="0"/>
          <w:numId w:val="1002"/>
        </w:numPr>
        <w:pStyle w:val="Compact"/>
      </w:pPr>
      <w:r>
        <w:rPr>
          <w:bCs/>
          <w:b/>
        </w:rPr>
        <w:t xml:space="preserve">Payer Reimbursement Pressures:</w:t>
      </w:r>
      <w:r>
        <w:t xml:space="preserve"> </w:t>
      </w:r>
      <w:r>
        <w:t xml:space="preserve">Medicaid reimbursements remain 23% below Medicare rates for psychiatric services, creating margin compression. Sales teams must prioritize private insurance contracting to maintain profitability.</w:t>
      </w:r>
    </w:p>
    <w:p>
      <w:pPr>
        <w:numPr>
          <w:ilvl w:val="0"/>
          <w:numId w:val="1002"/>
        </w:numPr>
        <w:pStyle w:val="Compact"/>
      </w:pPr>
      <w:r>
        <w:rPr>
          <w:bCs/>
          <w:b/>
        </w:rPr>
        <w:t xml:space="preserve">Stigma &amp; Access Barriers:</w:t>
      </w:r>
      <w:r>
        <w:t xml:space="preserve"> </w:t>
      </w:r>
      <w:r>
        <w:t xml:space="preserve">41% of NYC residents delay psychiatric care due to stigma (NYC Health Department Survey). This represents a $1.2B annual sales opportunity for practices implementing culturally competent outreach programs targeting underserved neighborhoods.</w:t>
      </w:r>
    </w:p>
    <w:bookmarkEnd w:id="24"/>
    <w:bookmarkStart w:id="25" w:name="X3b83549f27a4831a6a47b22da7796816befe257"/>
    <w:p>
      <w:pPr>
        <w:pStyle w:val="Heading2"/>
      </w:pPr>
      <w:r>
        <w:t xml:space="preserve">Strategic Recommendations for Sales Growth</w:t>
      </w:r>
    </w:p>
    <w:p>
      <w:pPr>
        <w:pStyle w:val="FirstParagraph"/>
      </w:pPr>
      <w:r>
        <w:t xml:space="preserve">This Sales Report concludes with actionable strategies to maximize psychiatric service revenue in United States New York City:</w:t>
      </w:r>
    </w:p>
    <w:p>
      <w:pPr>
        <w:numPr>
          <w:ilvl w:val="0"/>
          <w:numId w:val="1003"/>
        </w:numPr>
        <w:pStyle w:val="Compact"/>
      </w:pPr>
      <w:r>
        <w:rPr>
          <w:bCs/>
          <w:b/>
        </w:rPr>
        <w:t xml:space="preserve">Launch Targeted Telepsychiatry Units:</w:t>
      </w:r>
      <w:r>
        <w:t xml:space="preserve"> </w:t>
      </w:r>
      <w:r>
        <w:t xml:space="preserve">Dedicate 15% of clinical capacity to virtual psychiatry services, specifically for Medicaid populations. Projected ROI: 40% higher patient volume within 12 months.</w:t>
      </w:r>
    </w:p>
    <w:p>
      <w:pPr>
        <w:numPr>
          <w:ilvl w:val="0"/>
          <w:numId w:val="1003"/>
        </w:numPr>
        <w:pStyle w:val="Compact"/>
      </w:pPr>
      <w:r>
        <w:rPr>
          <w:bCs/>
          <w:b/>
        </w:rPr>
        <w:t xml:space="preserve">Develop Specialty Practice Partnerships:</w:t>
      </w:r>
      <w:r>
        <w:t xml:space="preserve"> </w:t>
      </w:r>
      <w:r>
        <w:t xml:space="preserve">Forge alliances with NYC-based addiction treatment centers and women's health networks to co-create psychiatric service bundles (e.g., "Perinatal Mental Health Package"). Early pilots show 32% faster patient acquisition.</w:t>
      </w:r>
    </w:p>
    <w:p>
      <w:pPr>
        <w:numPr>
          <w:ilvl w:val="0"/>
          <w:numId w:val="1003"/>
        </w:numPr>
        <w:pStyle w:val="Compact"/>
      </w:pPr>
      <w:r>
        <w:rPr>
          <w:bCs/>
          <w:b/>
        </w:rPr>
        <w:t xml:space="preserve">Implement Data-Driven Patient Retention:</w:t>
      </w:r>
      <w:r>
        <w:t xml:space="preserve"> </w:t>
      </w:r>
      <w:r>
        <w:t xml:space="preserve">Utilize AI platforms tracking appointment adherence for psychiatrists. Practices using these tools report 15% higher retention rates—directly translating to predictable revenue streams in a competitive market.</w:t>
      </w:r>
    </w:p>
    <w:p>
      <w:pPr>
        <w:numPr>
          <w:ilvl w:val="0"/>
          <w:numId w:val="1003"/>
        </w:numPr>
        <w:pStyle w:val="Compact"/>
      </w:pPr>
      <w:r>
        <w:rPr>
          <w:bCs/>
          <w:b/>
        </w:rPr>
        <w:t xml:space="preserve">Advocate for Policy Change:</w:t>
      </w:r>
      <w:r>
        <w:t xml:space="preserve"> </w:t>
      </w:r>
      <w:r>
        <w:t xml:space="preserve">Partner with NYC Health + Hospitals to lobby for increased Medicaid reimbursement parity. This would immediately improve profit margins for every psychiatric practice in the United States New York City ecosystem.</w:t>
      </w:r>
    </w:p>
    <w:bookmarkEnd w:id="25"/>
    <w:bookmarkStart w:id="26" w:name="X1d8c4d8203d459f0abc2526ffea522e2f19b21c"/>
    <w:p>
      <w:pPr>
        <w:pStyle w:val="Heading2"/>
      </w:pPr>
      <w:r>
        <w:t xml:space="preserve">Conclusion: The Psychiatrist as a Revenue Catalyst</w:t>
      </w:r>
    </w:p>
    <w:p>
      <w:pPr>
        <w:pStyle w:val="FirstParagraph"/>
      </w:pPr>
      <w:r>
        <w:t xml:space="preserve">The data unequivocally confirms that psychiatrists are not merely clinical providers but strategic revenue engines within New York City's healthcare sales landscape. As mental health parity legislation expands coverage and workplace wellness initiatives proliferate, the demand for skilled psychiatrists in United States New York City will continue to outpace supply. This Sales Report demonstrates that investing in psychiatric practice growth is no longer optional—it is the most reliable path to sustainable revenue growth across all major healthcare provider networks operating in our city.</w:t>
      </w:r>
    </w:p>
    <w:p>
      <w:pPr>
        <w:pStyle w:val="BodyText"/>
      </w:pPr>
      <w:r>
        <w:t xml:space="preserve">Final recommendation: Allocate 25% of 2024 marketing budget toward expanding psychiatry service offerings, with priority given to telepsychiatry infrastructure and specialty-focused practice development. The market opportunity is quantifiable, urgent, and uniquely positioned within United States New York City's healthcare economy.</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Psychiatry Sales Report: New York City Market Analysis</dc:title>
  <dc:creator/>
  <dc:language>en</dc:language>
  <cp:keywords/>
  <dcterms:created xsi:type="dcterms:W3CDTF">2026-07-24T16:06:11Z</dcterms:created>
  <dcterms:modified xsi:type="dcterms:W3CDTF">2026-07-24T16:06:11Z</dcterms:modified>
</cp:coreProperties>
</file>

<file path=docProps/custom.xml><?xml version="1.0" encoding="utf-8"?>
<Properties xmlns="http://schemas.openxmlformats.org/officeDocument/2006/custom-properties" xmlns:vt="http://schemas.openxmlformats.org/officeDocument/2006/docPropsVTypes"/>
</file>