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Practice</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131895828739dbbb0053484503fe156e84683e8"/>
    <w:p>
      <w:pPr>
        <w:pStyle w:val="Heading1"/>
      </w:pPr>
      <w:r>
        <w:t xml:space="preserve">SALES REPORT</w:t>
      </w:r>
      <w:r>
        <w:br/>
      </w:r>
      <w:r>
        <w:t xml:space="preserve">Psychiatrist Practice Performance Analysis - United States San Francisco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Business Development Department</w:t>
      </w:r>
    </w:p>
    <w:bookmarkStart w:id="20" w:name="executive-summary"/>
    <w:p>
      <w:pPr>
        <w:pStyle w:val="Heading2"/>
      </w:pPr>
      <w:r>
        <w:t xml:space="preserve">Executive Summary</w:t>
      </w:r>
    </w:p>
    <w:p>
      <w:pPr>
        <w:pStyle w:val="FirstParagraph"/>
      </w:pPr>
      <w:r>
        <w:t xml:space="preserve">This comprehensive Sales Report details the performance of psychiatric services across San Francisco, California within the United States healthcare market. As one of the most competitive urban centers for mental health services, San Francisco presents unique opportunities and challenges for</w:t>
      </w:r>
      <w:r>
        <w:t xml:space="preserve"> </w:t>
      </w:r>
      <w:r>
        <w:rPr>
          <w:bCs/>
          <w:b/>
        </w:rPr>
        <w:t xml:space="preserve">Psychiatrist</w:t>
      </w:r>
      <w:r>
        <w:t xml:space="preserve"> </w:t>
      </w:r>
      <w:r>
        <w:t xml:space="preserve">practices. The analysis reveals robust patient acquisition growth (28% year-over-year) and revenue expansion ($4.7M Q3 2023), positioning our practice as a market leader in the United States San Francisco ecosystem. Key drivers include telehealth adoption, employer partnerships, and culturally competent care delivery.</w:t>
      </w:r>
    </w:p>
    <w:bookmarkEnd w:id="20"/>
    <w:bookmarkStart w:id="21" w:name="market-context-competitive-landscape"/>
    <w:p>
      <w:pPr>
        <w:pStyle w:val="Heading2"/>
      </w:pPr>
      <w:r>
        <w:t xml:space="preserve">Market Context &amp; Competitive Landscape</w:t>
      </w:r>
    </w:p>
    <w:p>
      <w:pPr>
        <w:pStyle w:val="FirstParagraph"/>
      </w:pPr>
      <w:r>
        <w:t xml:space="preserve">The United States San Francisco psychiatric market serves a population of 860,000 residents with exceptionally high demand for mental health services. With the highest per capita concentration of psychiatrists in the nation (3.2 per 1,000 people), competition is intense but also reflects strong market validation. Our Sales Report identifies three critical trends:</w:t>
      </w:r>
    </w:p>
    <w:p>
      <w:pPr>
        <w:numPr>
          <w:ilvl w:val="0"/>
          <w:numId w:val="1001"/>
        </w:numPr>
        <w:pStyle w:val="Compact"/>
      </w:pPr>
      <w:r>
        <w:rPr>
          <w:bCs/>
          <w:b/>
        </w:rPr>
        <w:t xml:space="preserve">Telehealth Dominance:</w:t>
      </w:r>
      <w:r>
        <w:t xml:space="preserve"> </w:t>
      </w:r>
      <w:r>
        <w:t xml:space="preserve">68% of patient interactions now occur via virtual platforms, a 140% increase since 2020</w:t>
      </w:r>
    </w:p>
    <w:p>
      <w:pPr>
        <w:numPr>
          <w:ilvl w:val="0"/>
          <w:numId w:val="1001"/>
        </w:numPr>
        <w:pStyle w:val="Compact"/>
      </w:pPr>
      <w:r>
        <w:rPr>
          <w:bCs/>
          <w:b/>
        </w:rPr>
        <w:t xml:space="preserve">Clinical Specialization Demand:</w:t>
      </w:r>
      <w:r>
        <w:t xml:space="preserve"> </w:t>
      </w:r>
      <w:r>
        <w:t xml:space="preserve">Subspecialties (ADHD, PTSD, Geriatric Psychiatry) show 35% higher revenue per visit</w:t>
      </w:r>
    </w:p>
    <w:p>
      <w:pPr>
        <w:numPr>
          <w:ilvl w:val="0"/>
          <w:numId w:val="1001"/>
        </w:numPr>
        <w:pStyle w:val="Compact"/>
      </w:pPr>
      <w:r>
        <w:rPr>
          <w:bCs/>
          <w:b/>
        </w:rPr>
        <w:t xml:space="preserve">Insurance Coverage Shifts:</w:t>
      </w:r>
      <w:r>
        <w:t xml:space="preserve"> </w:t>
      </w:r>
      <w:r>
        <w:t xml:space="preserve">47% of new patients use managed care plans versus 29% in 2021</w:t>
      </w:r>
    </w:p>
    <w:p>
      <w:pPr>
        <w:pStyle w:val="FirstParagraph"/>
      </w:pPr>
      <w:r>
        <w:t xml:space="preserve">Competitor analysis shows three main players: a large academic health system (35% market share), a regional telehealth provider (30%), and independent practices like ours (28%). Our unique value proposition—combining same-day virtual consultations with in-person care at our San Francisco clinic—has driven superior patient retention rates (89% vs. industry average 76%).</w:t>
      </w:r>
    </w:p>
    <w:bookmarkEnd w:id="21"/>
    <w:bookmarkStart w:id="23" w:name="sales-performance-breakdown-q3-2023"/>
    <w:p>
      <w:pPr>
        <w:pStyle w:val="Heading2"/>
      </w:pPr>
      <w:r>
        <w:t xml:space="preserve">Sales Performance Breakdown (Q3 2023)</w:t>
      </w:r>
    </w:p>
    <w:p>
      <w:pPr>
        <w:pStyle w:val="FirstParagraph"/>
      </w:pPr>
      <w:r>
        <w:t xml:space="preserve">Category</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Patient Visits (Total)</w:t>
      </w:r>
    </w:p>
    <w:p>
      <w:pPr>
        <w:pStyle w:val="BodyText"/>
      </w:pPr>
      <w:r>
        <w:t xml:space="preserve">1,842</w:t>
      </w:r>
    </w:p>
    <w:p>
      <w:pPr>
        <w:pStyle w:val="BodyText"/>
      </w:pPr>
      <w:r>
        <w:t xml:space="preserve">1,520</w:t>
      </w:r>
    </w:p>
    <w:p>
      <w:pPr>
        <w:pStyle w:val="BodyText"/>
      </w:pPr>
      <w:r>
        <w:t xml:space="preserve">+21.2%</w:t>
      </w:r>
    </w:p>
    <w:p>
      <w:pPr>
        <w:pStyle w:val="BodyText"/>
      </w:pPr>
      <w:r>
        <w:t xml:space="preserve">Revenue Generated</w:t>
      </w:r>
    </w:p>
    <w:p>
      <w:pPr>
        <w:pStyle w:val="BodyText"/>
      </w:pPr>
      <w:r>
        <w:t xml:space="preserve">$4.7M</w:t>
      </w:r>
    </w:p>
    <w:p>
      <w:pPr>
        <w:pStyle w:val="BodyText"/>
      </w:pPr>
      <w:r>
        <w:t xml:space="preserve">$3.9M</w:t>
      </w:r>
    </w:p>
    <w:p>
      <w:pPr>
        <w:pStyle w:val="BodyText"/>
      </w:pPr>
      <w:r>
        <w:t xml:space="preserve">+20.5%</w:t>
      </w:r>
    </w:p>
    <w:p>
      <w:pPr>
        <w:pStyle w:val="BodyText"/>
      </w:pPr>
      <w:r>
        <w:t xml:space="preserve">Telehealth Visits</w:t>
      </w:r>
    </w:p>
    <w:p>
      <w:pPr>
        <w:pStyle w:val="BodyText"/>
      </w:pPr>
      <w:r>
        <w:t xml:space="preserve">1,267 (68.8%)</w:t>
      </w:r>
    </w:p>
    <w:p>
      <w:pPr>
        <w:pStyle w:val="BodyText"/>
      </w:pPr>
      <w:r>
        <w:t xml:space="preserve">943 (62.0%)</w:t>
      </w:r>
    </w:p>
    <w:p>
      <w:pPr>
        <w:pStyle w:val="BodyText"/>
      </w:pPr>
      <w:r>
        <w:t xml:space="preserve">+34.4%</w:t>
      </w:r>
    </w:p>
    <w:p>
      <w:pPr>
        <w:pStyle w:val="BodyText"/>
      </w:pPr>
      <w:r>
        <w:t xml:space="preserve">New Patient Acquisitions</w:t>
      </w:r>
    </w:p>
    <w:p>
      <w:pPr>
        <w:pStyle w:val="BodyText"/>
      </w:pPr>
      <w:r>
        <w:t xml:space="preserve">512</w:t>
      </w:r>
    </w:p>
    <w:p>
      <w:pPr>
        <w:pStyle w:val="BodyText"/>
      </w:pPr>
      <w:r>
        <w:t xml:space="preserve">415</w:t>
      </w:r>
    </w:p>
    <w:p>
      <w:pPr>
        <w:pStyle w:val="BodyText"/>
      </w:pPr>
      <w:r>
        <w:t xml:space="preserve">+23.4%</w:t>
      </w:r>
    </w:p>
    <w:bookmarkStart w:id="22" w:name="revenue-stream-analysis"/>
    <w:p>
      <w:pPr>
        <w:pStyle w:val="Heading3"/>
      </w:pPr>
      <w:r>
        <w:t xml:space="preserve">Revenue Stream Analysis</w:t>
      </w:r>
    </w:p>
    <w:p>
      <w:pPr>
        <w:pStyle w:val="FirstParagraph"/>
      </w:pPr>
      <w:r>
        <w:t xml:space="preserve">Our Sales Report highlights revenue concentration across service lines:</w:t>
      </w:r>
    </w:p>
    <w:p>
      <w:pPr>
        <w:numPr>
          <w:ilvl w:val="0"/>
          <w:numId w:val="1002"/>
        </w:numPr>
        <w:pStyle w:val="Compact"/>
      </w:pPr>
      <w:r>
        <w:rPr>
          <w:bCs/>
          <w:b/>
        </w:rPr>
        <w:t xml:space="preserve">Standard Psychiatric Evaluations (48% of revenue):</w:t>
      </w:r>
      <w:r>
        <w:t xml:space="preserve"> </w:t>
      </w:r>
      <w:r>
        <w:t xml:space="preserve">$2.26M, driven by high-volume insurance reimbursements</w:t>
      </w:r>
    </w:p>
    <w:p>
      <w:pPr>
        <w:numPr>
          <w:ilvl w:val="0"/>
          <w:numId w:val="1002"/>
        </w:numPr>
        <w:pStyle w:val="Compact"/>
      </w:pPr>
      <w:r>
        <w:rPr>
          <w:bCs/>
          <w:b/>
        </w:rPr>
        <w:t xml:space="preserve">Specialized Treatment Programs (31% of revenue):</w:t>
      </w:r>
      <w:r>
        <w:t xml:space="preserve"> </w:t>
      </w:r>
      <w:r>
        <w:t xml:space="preserve">$1.46M from ADHD management and trauma therapy packages</w:t>
      </w:r>
    </w:p>
    <w:p>
      <w:pPr>
        <w:numPr>
          <w:ilvl w:val="0"/>
          <w:numId w:val="1002"/>
        </w:numPr>
        <w:pStyle w:val="Compact"/>
      </w:pPr>
      <w:r>
        <w:rPr>
          <w:bCs/>
          <w:b/>
        </w:rPr>
        <w:t xml:space="preserve">Care Coordination Services (14% of revenue):</w:t>
      </w:r>
      <w:r>
        <w:t xml:space="preserve"> </w:t>
      </w:r>
      <w:r>
        <w:t xml:space="preserve">$0.66M through partnerships with 22 local primary care clinics</w:t>
      </w:r>
    </w:p>
    <w:p>
      <w:pPr>
        <w:numPr>
          <w:ilvl w:val="0"/>
          <w:numId w:val="1002"/>
        </w:numPr>
        <w:pStyle w:val="Compact"/>
      </w:pPr>
      <w:r>
        <w:rPr>
          <w:bCs/>
          <w:b/>
        </w:rPr>
        <w:t xml:space="preserve">Corporate Wellness Programs (7% of revenue):</w:t>
      </w:r>
      <w:r>
        <w:t xml:space="preserve"> </w:t>
      </w:r>
      <w:r>
        <w:t xml:space="preserve">$0.33M from contracts with 5 major San Francisco tech companies</w:t>
      </w:r>
    </w:p>
    <w:bookmarkEnd w:id="22"/>
    <w:bookmarkEnd w:id="23"/>
    <w:bookmarkStart w:id="25" w:name="Xb583a1fb68535d0f01dec6b45f0177c3f19cfac"/>
    <w:p>
      <w:pPr>
        <w:pStyle w:val="Heading2"/>
      </w:pPr>
      <w:r>
        <w:t xml:space="preserve">Geographic Performance in United States San Francisco</w:t>
      </w:r>
    </w:p>
    <w:p>
      <w:pPr>
        <w:pStyle w:val="FirstParagraph"/>
      </w:pPr>
      <w:r>
        <w:t xml:space="preserve">San Francisco's unique neighborhoods present distinct opportunities. Our Sales Report reveals:</w:t>
      </w:r>
    </w:p>
    <w:bookmarkStart w:id="24" w:name="neighborhood-revenue-distribution"/>
    <w:p>
      <w:pPr>
        <w:pStyle w:val="Heading3"/>
      </w:pPr>
      <w:r>
        <w:t xml:space="preserve">Neighborhood Revenue Distribution</w:t>
      </w:r>
    </w:p>
    <w:p>
      <w:pPr>
        <w:pStyle w:val="FirstParagraph"/>
      </w:pPr>
      <w:r>
        <w:rPr>
          <w:bCs/>
          <w:b/>
        </w:rPr>
        <w:t xml:space="preserve">Financial District:</w:t>
      </w:r>
      <w:r>
        <w:t xml:space="preserve"> </w:t>
      </w:r>
      <w:r>
        <w:t xml:space="preserve">$1.8M (40% of revenue) - Corporate wellness contracts drive this segment</w:t>
      </w:r>
    </w:p>
    <w:p>
      <w:pPr>
        <w:pStyle w:val="BodyText"/>
      </w:pPr>
      <w:r>
        <w:rPr>
          <w:bCs/>
          <w:b/>
        </w:rPr>
        <w:t xml:space="preserve">Mission District:</w:t>
      </w:r>
      <w:r>
        <w:t xml:space="preserve"> </w:t>
      </w:r>
      <w:r>
        <w:t xml:space="preserve">$950K (20%) - Community mental health partnerships show strongest growth (+37% YoY)</w:t>
      </w:r>
    </w:p>
    <w:p>
      <w:pPr>
        <w:pStyle w:val="BodyText"/>
      </w:pPr>
      <w:r>
        <w:rPr>
          <w:bCs/>
          <w:b/>
        </w:rPr>
        <w:t xml:space="preserve">Pacific Heights:</w:t>
      </w:r>
      <w:r>
        <w:t xml:space="preserve"> </w:t>
      </w:r>
      <w:r>
        <w:t xml:space="preserve">$1.1M (24%) - Highest average revenue per visit ($385)</w:t>
      </w:r>
    </w:p>
    <w:p>
      <w:pPr>
        <w:pStyle w:val="BodyText"/>
      </w:pPr>
      <w:r>
        <w:rPr>
          <w:bCs/>
          <w:b/>
        </w:rPr>
        <w:t xml:space="preserve">South of Market:</w:t>
      </w:r>
      <w:r>
        <w:t xml:space="preserve"> </w:t>
      </w:r>
      <w:r>
        <w:t xml:space="preserve">$800K (17%) - Largest new patient acquisition cohort (+42% YoY)</w:t>
      </w:r>
    </w:p>
    <w:bookmarkEnd w:id="24"/>
    <w:bookmarkEnd w:id="25"/>
    <w:bookmarkStart w:id="26" w:name="key-challenges-identified"/>
    <w:p>
      <w:pPr>
        <w:pStyle w:val="Heading2"/>
      </w:pPr>
      <w:r>
        <w:t xml:space="preserve">Key Challenges Identified</w:t>
      </w:r>
    </w:p>
    <w:p>
      <w:pPr>
        <w:pStyle w:val="FirstParagraph"/>
      </w:pPr>
      <w:r>
        <w:t xml:space="preserve">Despite strong growth, our Sales Report identifies critical challenges in the United States San Francisco market:</w:t>
      </w:r>
    </w:p>
    <w:p>
      <w:pPr>
        <w:numPr>
          <w:ilvl w:val="0"/>
          <w:numId w:val="1003"/>
        </w:numPr>
        <w:pStyle w:val="Compact"/>
      </w:pPr>
      <w:r>
        <w:rPr>
          <w:bCs/>
          <w:b/>
        </w:rPr>
        <w:t xml:space="preserve">Insurance Reimbursement Pressures:</w:t>
      </w:r>
      <w:r>
        <w:t xml:space="preserve"> </w:t>
      </w:r>
      <w:r>
        <w:t xml:space="preserve">Average Medicaid reimbursement rates decreased by 12% in Q3, impacting lower-income patient revenue streams</w:t>
      </w:r>
    </w:p>
    <w:p>
      <w:pPr>
        <w:numPr>
          <w:ilvl w:val="0"/>
          <w:numId w:val="1003"/>
        </w:numPr>
        <w:pStyle w:val="Compact"/>
      </w:pPr>
      <w:r>
        <w:rPr>
          <w:bCs/>
          <w:b/>
        </w:rPr>
        <w:t xml:space="preserve">Talent Acquisition:</w:t>
      </w:r>
      <w:r>
        <w:t xml:space="preserve"> </w:t>
      </w:r>
      <w:r>
        <w:t xml:space="preserve">Psychiatrist vacancy rate at 18.7% (vs. 9.2% national average) threatens service continuity</w:t>
      </w:r>
    </w:p>
    <w:p>
      <w:pPr>
        <w:numPr>
          <w:ilvl w:val="0"/>
          <w:numId w:val="1003"/>
        </w:numPr>
        <w:pStyle w:val="Compact"/>
      </w:pPr>
      <w:r>
        <w:rPr>
          <w:bCs/>
          <w:b/>
        </w:rPr>
        <w:t xml:space="preserve">Cultural Competency Gaps:</w:t>
      </w:r>
      <w:r>
        <w:t xml:space="preserve"> </w:t>
      </w:r>
      <w:r>
        <w:t xml:space="preserve">Only 34% of patients from Asian American communities report feeling culturally understood, versus 67% for White patients</w:t>
      </w:r>
    </w:p>
    <w:bookmarkEnd w:id="26"/>
    <w:bookmarkStart w:id="27" w:name="strategic-initiatives-for-growth-q4-2023"/>
    <w:p>
      <w:pPr>
        <w:pStyle w:val="Heading2"/>
      </w:pPr>
      <w:r>
        <w:t xml:space="preserve">Strategic Initiatives for Growth (Q4 2023)</w:t>
      </w:r>
    </w:p>
    <w:p>
      <w:pPr>
        <w:pStyle w:val="FirstParagraph"/>
      </w:pPr>
      <w:r>
        <w:t xml:space="preserve">To capitalize on the United States San Francisco market potential, we recommend three priority initiatives:</w:t>
      </w:r>
    </w:p>
    <w:p>
      <w:pPr>
        <w:numPr>
          <w:ilvl w:val="0"/>
          <w:numId w:val="1004"/>
        </w:numPr>
        <w:pStyle w:val="Compact"/>
      </w:pPr>
      <w:r>
        <w:rPr>
          <w:bCs/>
          <w:b/>
        </w:rPr>
        <w:t xml:space="preserve">Expand Telehealth Infrastructure:</w:t>
      </w:r>
      <w:r>
        <w:t xml:space="preserve"> </w:t>
      </w:r>
      <w:r>
        <w:t xml:space="preserve">Invest $180K in AI-driven scheduling optimization to reduce no-show rates by 30%, targeting $670K additional quarterly revenue</w:t>
      </w:r>
    </w:p>
    <w:p>
      <w:pPr>
        <w:numPr>
          <w:ilvl w:val="0"/>
          <w:numId w:val="1004"/>
        </w:numPr>
        <w:pStyle w:val="Compact"/>
      </w:pPr>
      <w:r>
        <w:rPr>
          <w:bCs/>
          <w:b/>
        </w:rPr>
        <w:t xml:space="preserve">Culturally Specialized Care Teams:</w:t>
      </w:r>
      <w:r>
        <w:t xml:space="preserve"> </w:t>
      </w:r>
      <w:r>
        <w:t xml:space="preserve">Launch three new sub-specialty groups (LGBTQ+ Mental Health, Asian American Wellness, Substance Use Integration) with dedicated</w:t>
      </w:r>
      <w:r>
        <w:t xml:space="preserve"> </w:t>
      </w:r>
      <w:r>
        <w:rPr>
          <w:bCs/>
          <w:b/>
        </w:rPr>
        <w:t xml:space="preserve">Psychiatrist</w:t>
      </w:r>
      <w:r>
        <w:t xml:space="preserve"> </w:t>
      </w:r>
      <w:r>
        <w:t xml:space="preserve">leads by Q2 2024</w:t>
      </w:r>
    </w:p>
    <w:p>
      <w:pPr>
        <w:numPr>
          <w:ilvl w:val="0"/>
          <w:numId w:val="1004"/>
        </w:numPr>
        <w:pStyle w:val="Compact"/>
      </w:pPr>
      <w:r>
        <w:rPr>
          <w:bCs/>
          <w:b/>
        </w:rPr>
        <w:t xml:space="preserve">Community Partnership Program:</w:t>
      </w:r>
      <w:r>
        <w:t xml:space="preserve"> </w:t>
      </w:r>
      <w:r>
        <w:t xml:space="preserve">Secure 3 new municipal contracts with San Francisco Department of Public Health to serve high-need populations (projected +$350K annual revenue)</w:t>
      </w:r>
    </w:p>
    <w:bookmarkEnd w:id="27"/>
    <w:bookmarkStart w:id="28" w:name="conclusion"/>
    <w:p>
      <w:pPr>
        <w:pStyle w:val="Heading2"/>
      </w:pPr>
      <w:r>
        <w:t xml:space="preserve">Conclusion</w:t>
      </w:r>
    </w:p>
    <w:p>
      <w:pPr>
        <w:pStyle w:val="FirstParagraph"/>
      </w:pPr>
      <w:r>
        <w:t xml:space="preserve">This Sales Report confirms that our psychiatric practice has achieved market leadership position in the United States San Francisco healthcare ecosystem through innovative service delivery and strategic geographic positioning. The remarkable 28% YoY patient growth demonstrates strong resonance with San Francisco's unique demographic needs—from tech professionals in the Financial District to underserved communities in Mission District. As we continue to refine our approach, our focus on culturally intelligent care and telehealth excellence will be central to sustaining this momentum.</w:t>
      </w:r>
    </w:p>
    <w:p>
      <w:pPr>
        <w:pStyle w:val="BodyText"/>
      </w:pPr>
      <w:r>
        <w:t xml:space="preserve">With 73% of patients reporting "excellent" experience scores (vs. 61% industry average), the foundation for continued growth is solid. We project $5.2M in revenue for Q4 2023 and a strategic expansion into adjacent neighborhoods like Dogpatch and Bernal Heights, where demand exceeds service capacity by 3:1.</w:t>
      </w:r>
    </w:p>
    <w:p>
      <w:pPr>
        <w:pStyle w:val="BodyText"/>
      </w:pPr>
      <w:r>
        <w:t xml:space="preserve">"San Francisco's mental health market demands more than clinical expertise—it requires cultural fluency and operational agility. Our Sales Report shows we're delivering both, making us the</w:t>
      </w:r>
      <w:r>
        <w:t xml:space="preserve"> </w:t>
      </w:r>
      <w:r>
        <w:rPr>
          <w:bCs/>
          <w:b/>
        </w:rPr>
        <w:t xml:space="preserve">Psychiatrist</w:t>
      </w:r>
      <w:r>
        <w:t xml:space="preserve"> </w:t>
      </w:r>
      <w:r>
        <w:t xml:space="preserve">practice of choice in the United States' most dynamic urban landscape."</w:t>
      </w:r>
    </w:p>
    <w:p>
      <w:pPr>
        <w:pStyle w:val="BodyText"/>
      </w:pPr>
      <w:r>
        <w:t xml:space="preserve">— Dr. Evelyn Reed, Chief Medical Officer</w:t>
      </w:r>
    </w:p>
    <w:p>
      <w:pPr>
        <w:pStyle w:val="BodyText"/>
      </w:pPr>
      <w:r>
        <w:rPr>
          <w:bCs/>
          <w:b/>
        </w:rPr>
        <w:t xml:space="preserve">Report Notes:</w:t>
      </w:r>
      <w:r>
        <w:t xml:space="preserve"> </w:t>
      </w:r>
      <w:r>
        <w:t xml:space="preserve">All data reflects United States San Francisco-specific performance metrics as of September 30, 2023. Market analysis based on California Department of Public Health data and internal practice records.</w:t>
      </w:r>
    </w:p>
    <w:p>
      <w:pPr>
        <w:pStyle w:val="BodyText"/>
      </w:pPr>
      <w:r>
        <w:t xml:space="preserve">This Sales Report is confidential property of [Your Practice Name] and intended for internal executive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Practice Performance - United States San Francisco</dc:title>
  <dc:creator/>
  <dc:language>en</dc:language>
  <cp:keywords/>
  <dcterms:created xsi:type="dcterms:W3CDTF">2025-12-12T03:41:40Z</dcterms:created>
  <dcterms:modified xsi:type="dcterms:W3CDTF">2025-12-12T03:41:40Z</dcterms:modified>
</cp:coreProperties>
</file>

<file path=docProps/custom.xml><?xml version="1.0" encoding="utf-8"?>
<Properties xmlns="http://schemas.openxmlformats.org/officeDocument/2006/custom-properties" xmlns:vt="http://schemas.openxmlformats.org/officeDocument/2006/docPropsVTypes"/>
</file>