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Psychology</w:t>
      </w:r>
      <w:r>
        <w:t xml:space="preserve"> </w:t>
      </w:r>
      <w:r>
        <w:t xml:space="preserve">Practice</w:t>
      </w:r>
      <w:r>
        <w:t xml:space="preserve"> </w:t>
      </w:r>
      <w:r>
        <w:t xml:space="preserve">Sales</w:t>
      </w:r>
      <w:r>
        <w:t xml:space="preserve"> </w:t>
      </w:r>
      <w:r>
        <w:t xml:space="preserve">Report:</w:t>
      </w:r>
      <w:r>
        <w:t xml:space="preserve"> </w:t>
      </w:r>
      <w:r>
        <w:t xml:space="preserve">Argentina</w:t>
      </w:r>
      <w:r>
        <w:t xml:space="preserve"> </w:t>
      </w:r>
      <w:r>
        <w:t xml:space="preserve">Córdoba</w:t>
      </w:r>
    </w:p>
    <w:bookmarkStart w:id="28" w:name="X1bb3fbe356955f3daa865d3723433e799c2dd79"/>
    <w:p>
      <w:pPr>
        <w:pStyle w:val="Heading1"/>
      </w:pPr>
      <w:r>
        <w:t xml:space="preserve">Sales Report: Comprehensive Psychologist Practice Performance in Argentina Córdoba</w:t>
      </w:r>
    </w:p>
    <w:bookmarkStart w:id="20" w:name="executive-summary"/>
    <w:p>
      <w:pPr>
        <w:pStyle w:val="Heading2"/>
      </w:pPr>
      <w:r>
        <w:t xml:space="preserve">Executive Summary</w:t>
      </w:r>
    </w:p>
    <w:p>
      <w:pPr>
        <w:pStyle w:val="FirstParagraph"/>
      </w:pPr>
      <w:r>
        <w:t xml:space="preserve">This Sales Report provides a detailed analysis of the psychological services business operations across the city of Córdoba, Argentina. As a leading mental health practice operating in the Argentine context since 2018, we've achieved significant growth in client acquisition and service delivery. The report demonstrates how our specialized psychologist team has successfully navigated Argentina's unique healthcare landscape while adapting to Córdoba's specific demographic and socioeconomic needs. With 23% year-over-year revenue growth, our practice now serves over 450 active clients monthly across diverse therapeutic modalities.</w:t>
      </w:r>
    </w:p>
    <w:bookmarkEnd w:id="20"/>
    <w:bookmarkStart w:id="21" w:name="X94b03c3f936035d316faab2de3f11c4e41826be"/>
    <w:p>
      <w:pPr>
        <w:pStyle w:val="Heading2"/>
      </w:pPr>
      <w:r>
        <w:t xml:space="preserve">Market Context: Psychology in Argentina Córdoba</w:t>
      </w:r>
    </w:p>
    <w:p>
      <w:pPr>
        <w:pStyle w:val="FirstParagraph"/>
      </w:pPr>
      <w:r>
        <w:t xml:space="preserve">Córdoba represents a critical hub for mental healthcare in central Argentina, with the second-highest concentration of licensed psychologists after Buenos Aires. According to the National Institute of Statistics (INDEC) and Argentine Psychological Association (APA) data, 34% of Córdoba residents report experiencing significant psychological distress annually – higher than the national average. This creates a robust market for professional psychology services, particularly in areas like trauma counseling, adolescent mental health, and workplace stress management. Our Sales Report tracks how our practice has capitalized on this demand while addressing Argentina's unique challenges: economic volatility, high consultation costs relative to income levels (average therapist fee is 15% of monthly salary), and cultural stigma around mental healthcare.</w:t>
      </w:r>
    </w:p>
    <w:bookmarkEnd w:id="21"/>
    <w:bookmarkStart w:id="22" w:name="sales-performance-analysis"/>
    <w:p>
      <w:pPr>
        <w:pStyle w:val="Heading2"/>
      </w:pPr>
      <w:r>
        <w:t xml:space="preserve">Sales Performance Analysis</w:t>
      </w:r>
    </w:p>
    <w:p>
      <w:pPr>
        <w:pStyle w:val="FirstParagraph"/>
      </w:pPr>
      <w:r>
        <w:rPr>
          <w:bCs/>
          <w:b/>
        </w:rPr>
        <w:t xml:space="preserve">Service Revenue Breakdown (Q1-Q3 2023):</w:t>
      </w:r>
    </w:p>
    <w:p>
      <w:pPr>
        <w:numPr>
          <w:ilvl w:val="0"/>
          <w:numId w:val="1001"/>
        </w:numPr>
        <w:pStyle w:val="Compact"/>
      </w:pPr>
      <w:r>
        <w:rPr>
          <w:bCs/>
          <w:b/>
        </w:rPr>
        <w:t xml:space="preserve">Individual Therapy:</w:t>
      </w:r>
      <w:r>
        <w:t xml:space="preserve"> </w:t>
      </w:r>
      <w:r>
        <w:t xml:space="preserve">58% of total revenue ($186,400), with average session price at ARS 4,950 (reflecting Argentina's current economic context)</w:t>
      </w:r>
    </w:p>
    <w:p>
      <w:pPr>
        <w:numPr>
          <w:ilvl w:val="0"/>
          <w:numId w:val="1001"/>
        </w:numPr>
        <w:pStyle w:val="Compact"/>
      </w:pPr>
      <w:r>
        <w:rPr>
          <w:bCs/>
          <w:b/>
        </w:rPr>
        <w:t xml:space="preserve">Couples Counseling:</w:t>
      </w:r>
      <w:r>
        <w:t xml:space="preserve"> </w:t>
      </w:r>
      <w:r>
        <w:t xml:space="preserve">22% ($71,350), showing strong demand due to high divorce rates in Córdoba (18.7%)</w:t>
      </w:r>
    </w:p>
    <w:p>
      <w:pPr>
        <w:numPr>
          <w:ilvl w:val="0"/>
          <w:numId w:val="1001"/>
        </w:numPr>
        <w:pStyle w:val="Compact"/>
      </w:pPr>
      <w:r>
        <w:rPr>
          <w:bCs/>
          <w:b/>
        </w:rPr>
        <w:t xml:space="preserve">Corporate Wellness Programs:</w:t>
      </w:r>
      <w:r>
        <w:t xml:space="preserve"> </w:t>
      </w:r>
      <w:r>
        <w:t xml:space="preserve">15% ($48,600), serving major Córdoba employers like Toyota Argentina and Cervecería Tres Marias</w:t>
      </w:r>
    </w:p>
    <w:p>
      <w:pPr>
        <w:numPr>
          <w:ilvl w:val="0"/>
          <w:numId w:val="1001"/>
        </w:numPr>
        <w:pStyle w:val="Compact"/>
      </w:pPr>
      <w:r>
        <w:rPr>
          <w:bCs/>
          <w:b/>
        </w:rPr>
        <w:t xml:space="preserve">Educational Workshops:</w:t>
      </w:r>
      <w:r>
        <w:t xml:space="preserve"> </w:t>
      </w:r>
      <w:r>
        <w:t xml:space="preserve">5% ($16,250), including community mental health initiatives funded by Córdoba province's Ministry of Health</w:t>
      </w:r>
    </w:p>
    <w:p>
      <w:pPr>
        <w:pStyle w:val="FirstParagraph"/>
      </w:pPr>
      <w:r>
        <w:t xml:space="preserve">Our Sales Report highlights a 37% increase in corporate contracts compared to last year, directly responding to Córdoba's growing industrial sector. Notably, we've developed a successful sliding-scale fee structure for low-income clients (25% of our patient base), ensuring accessibility while maintaining practice viability in Argentina's economic climate.</w:t>
      </w:r>
    </w:p>
    <w:bookmarkEnd w:id="22"/>
    <w:bookmarkStart w:id="23" w:name="client-demographics-geographic-spread"/>
    <w:p>
      <w:pPr>
        <w:pStyle w:val="Heading2"/>
      </w:pPr>
      <w:r>
        <w:t xml:space="preserve">Client Demographics &amp; Geographic Spread</w:t>
      </w:r>
    </w:p>
    <w:p>
      <w:pPr>
        <w:pStyle w:val="FirstParagraph"/>
      </w:pPr>
      <w:r>
        <w:t xml:space="preserve">Argentina Córdoba's client distribution reveals strategic market penetration:</w:t>
      </w:r>
    </w:p>
    <w:p>
      <w:pPr>
        <w:numPr>
          <w:ilvl w:val="0"/>
          <w:numId w:val="1002"/>
        </w:numPr>
        <w:pStyle w:val="Compact"/>
      </w:pPr>
      <w:r>
        <w:rPr>
          <w:bCs/>
          <w:b/>
        </w:rPr>
        <w:t xml:space="preserve">Districts Served:</w:t>
      </w:r>
      <w:r>
        <w:t xml:space="preserve"> </w:t>
      </w:r>
      <w:r>
        <w:t xml:space="preserve">78% from Greater Córdoba (Córdoba City, Villa María, Río Cuarto), 19% from surrounding provinces (Santa Fe, San Luis)</w:t>
      </w:r>
    </w:p>
    <w:p>
      <w:pPr>
        <w:numPr>
          <w:ilvl w:val="0"/>
          <w:numId w:val="1002"/>
        </w:numPr>
        <w:pStyle w:val="Compact"/>
      </w:pPr>
      <w:r>
        <w:rPr>
          <w:bCs/>
          <w:b/>
        </w:rPr>
        <w:t xml:space="preserve">Age Groups:</w:t>
      </w:r>
      <w:r>
        <w:t xml:space="preserve"> </w:t>
      </w:r>
      <w:r>
        <w:t xml:space="preserve">42% aged 25-40 (primary income earners facing economic pressures), 31% aged 41-55 (career/stress management), 27% under 25 (academic/workplace anxiety)</w:t>
      </w:r>
    </w:p>
    <w:p>
      <w:pPr>
        <w:numPr>
          <w:ilvl w:val="0"/>
          <w:numId w:val="1002"/>
        </w:numPr>
        <w:pStyle w:val="Compact"/>
      </w:pPr>
      <w:r>
        <w:rPr>
          <w:bCs/>
          <w:b/>
        </w:rPr>
        <w:t xml:space="preserve">Cultural Considerations:</w:t>
      </w:r>
      <w:r>
        <w:t xml:space="preserve"> </w:t>
      </w:r>
      <w:r>
        <w:t xml:space="preserve">Our psychologist team has implemented culturally sensitive approaches for Indigenous communities in Córdoba's northern regions, increasing service utilization by 33% among Mapuche populations</w:t>
      </w:r>
    </w:p>
    <w:bookmarkEnd w:id="23"/>
    <w:bookmarkStart w:id="24" w:name="performance-against-key-metrics"/>
    <w:p>
      <w:pPr>
        <w:pStyle w:val="Heading2"/>
      </w:pPr>
      <w:r>
        <w:t xml:space="preserve">Performance Against Key Metrics</w:t>
      </w:r>
    </w:p>
    <w:p>
      <w:pPr>
        <w:pStyle w:val="FirstParagraph"/>
      </w:pPr>
      <w:r>
        <w:t xml:space="preserve">Key Metric</w:t>
      </w:r>
    </w:p>
    <w:p>
      <w:pPr>
        <w:pStyle w:val="BodyText"/>
      </w:pPr>
      <w:r>
        <w:t xml:space="preserve">Q3 2022</w:t>
      </w:r>
    </w:p>
    <w:p>
      <w:pPr>
        <w:pStyle w:val="BodyText"/>
      </w:pPr>
      <w:r>
        <w:t xml:space="preserve">Q3 2023</w:t>
      </w:r>
    </w:p>
    <w:p>
      <w:pPr>
        <w:pStyle w:val="BodyText"/>
      </w:pPr>
      <w:r>
        <w:t xml:space="preserve">Growth (%)</w:t>
      </w:r>
    </w:p>
    <w:p>
      <w:pPr>
        <w:pStyle w:val="BodyText"/>
      </w:pPr>
      <w:r>
        <w:t xml:space="preserve">New Client Acquisitions</w:t>
      </w:r>
    </w:p>
    <w:p>
      <w:pPr>
        <w:pStyle w:val="BodyText"/>
      </w:pPr>
      <w:r>
        <w:t xml:space="preserve">185</w:t>
      </w:r>
    </w:p>
    <w:p>
      <w:pPr>
        <w:pStyle w:val="BodyText"/>
      </w:pPr>
      <w:r>
        <w:t xml:space="preserve">278</w:t>
      </w:r>
    </w:p>
    <w:p>
      <w:pPr>
        <w:pStyle w:val="BodyText"/>
      </w:pPr>
      <w:r>
        <w:t xml:space="preserve">+49.7%</w:t>
      </w:r>
    </w:p>
    <w:p>
      <w:pPr>
        <w:pStyle w:val="BodyText"/>
      </w:pPr>
      <w:r>
        <w:t xml:space="preserve">Client Retention Rate</w:t>
      </w:r>
    </w:p>
    <w:p>
      <w:pPr>
        <w:pStyle w:val="BodyText"/>
      </w:pPr>
      <w:r>
        <w:t xml:space="preserve">63%</w:t>
      </w:r>
    </w:p>
    <w:p>
      <w:pPr>
        <w:pStyle w:val="BodyText"/>
      </w:pPr>
      <w:r>
        <w:t xml:space="preserve">76%</w:t>
      </w:r>
    </w:p>
    <w:p>
      <w:pPr>
        <w:pStyle w:val="BodyText"/>
      </w:pPr>
      <w:r>
        <w:t xml:space="preserve">+13%</w:t>
      </w:r>
    </w:p>
    <w:p>
      <w:pPr>
        <w:pStyle w:val="BodyText"/>
      </w:pPr>
      <w:r>
        <w:t xml:space="preserve">Avg. Session Utilization</w:t>
      </w:r>
    </w:p>
    <w:p>
      <w:pPr>
        <w:pStyle w:val="BodyText"/>
      </w:pPr>
      <w:r>
        <w:t xml:space="preserve">4.2/week</w:t>
      </w:r>
    </w:p>
    <w:p>
      <w:pPr>
        <w:pStyle w:val="BodyText"/>
      </w:pPr>
      <w:r>
        <w:t xml:space="preserve">5.8/week</w:t>
      </w:r>
    </w:p>
    <w:p>
      <w:pPr>
        <w:pStyle w:val="BodyText"/>
      </w:pPr>
      <w:r>
        <w:t xml:space="preserve">+38.1%</w:t>
      </w:r>
    </w:p>
    <w:p>
      <w:pPr>
        <w:pStyle w:val="BodyText"/>
      </w:pPr>
      <w:r>
        <w:t xml:space="preserve">Satisfaction Score (NPS)</w:t>
      </w:r>
    </w:p>
    <w:p>
      <w:pPr>
        <w:pStyle w:val="BodyText"/>
      </w:pPr>
      <w:r>
        <w:t xml:space="preserve">67</w:t>
      </w:r>
    </w:p>
    <w:p>
      <w:pPr>
        <w:pStyle w:val="BodyText"/>
      </w:pPr>
      <w:r>
        <w:t xml:space="preserve">79</w:t>
      </w:r>
    </w:p>
    <w:p>
      <w:pPr>
        <w:pStyle w:val="BodyText"/>
      </w:pPr>
      <w:r>
        <w:t xml:space="preserve">+12 pts</w:t>
      </w:r>
    </w:p>
    <w:bookmarkEnd w:id="24"/>
    <w:bookmarkStart w:id="25" w:name="X67a323fe8145606e67c2b54107d7a85fccbc829"/>
    <w:p>
      <w:pPr>
        <w:pStyle w:val="Heading2"/>
      </w:pPr>
      <w:r>
        <w:t xml:space="preserve">Argentina Córdoba-Specific Challenges &amp; Solutions</w:t>
      </w:r>
    </w:p>
    <w:p>
      <w:pPr>
        <w:pStyle w:val="FirstParagraph"/>
      </w:pPr>
      <w:r>
        <w:t xml:space="preserve">This Sales Report identifies two critical challenges unique to our Argentina Córdoba operations:</w:t>
      </w:r>
    </w:p>
    <w:p>
      <w:pPr>
        <w:pStyle w:val="BodyText"/>
      </w:pPr>
      <w:r>
        <w:rPr>
          <w:bCs/>
          <w:b/>
        </w:rPr>
        <w:t xml:space="preserve">1. Economic Volatility Impact:</w:t>
      </w:r>
      <w:r>
        <w:t xml:space="preserve"> </w:t>
      </w:r>
      <w:r>
        <w:t xml:space="preserve">Currency devaluation reduced effective client purchasing power by 28% in 2023. Our solution involved introducing fixed-fee monthly packages (ARS 4,500 for 6 sessions) and collaborating with local NGOs to provide subsidized services for vulnerable populations – resulting in a net +19% client growth despite economic conditions.</w:t>
      </w:r>
    </w:p>
    <w:p>
      <w:pPr>
        <w:pStyle w:val="BodyText"/>
      </w:pPr>
      <w:r>
        <w:rPr>
          <w:bCs/>
          <w:b/>
        </w:rPr>
        <w:t xml:space="preserve">2. Cultural Stigma Reduction:</w:t>
      </w:r>
      <w:r>
        <w:t xml:space="preserve"> </w:t>
      </w:r>
      <w:r>
        <w:t xml:space="preserve">Traditional views on mental health in Córdoba required tailored communication strategies. Our psychologist team developed a community education campaign ("Salud Mental es Salud Completa"), partnering with schools and churches across the province. This initiative reduced stigma-related client acquisition costs by 31% as evidenced in our Sales Report data.</w:t>
      </w:r>
    </w:p>
    <w:bookmarkEnd w:id="25"/>
    <w:bookmarkStart w:id="26" w:name="Xc5c7eb51a2698651074e36263db0441d6e3c170"/>
    <w:p>
      <w:pPr>
        <w:pStyle w:val="Heading2"/>
      </w:pPr>
      <w:r>
        <w:t xml:space="preserve">Strategic Recommendations for Future Growth</w:t>
      </w:r>
    </w:p>
    <w:p>
      <w:pPr>
        <w:pStyle w:val="FirstParagraph"/>
      </w:pPr>
      <w:r>
        <w:t xml:space="preserve">Based on this comprehensive Sales Report, we recommend three focused initiatives for Argentina Córdoba operations:</w:t>
      </w:r>
    </w:p>
    <w:p>
      <w:pPr>
        <w:numPr>
          <w:ilvl w:val="0"/>
          <w:numId w:val="1003"/>
        </w:numPr>
        <w:pStyle w:val="Compact"/>
      </w:pPr>
      <w:r>
        <w:rPr>
          <w:bCs/>
          <w:b/>
        </w:rPr>
        <w:t xml:space="preserve">National Health Insurance Integration:</w:t>
      </w:r>
      <w:r>
        <w:t xml:space="preserve"> </w:t>
      </w:r>
      <w:r>
        <w:t xml:space="preserve">Partner with OSDE and Galeno to secure insurance coverage for psychological services – projected to add 150+ new clients monthly through Argentina's public health system.</w:t>
      </w:r>
    </w:p>
    <w:p>
      <w:pPr>
        <w:numPr>
          <w:ilvl w:val="0"/>
          <w:numId w:val="1003"/>
        </w:numPr>
        <w:pStyle w:val="Compact"/>
      </w:pPr>
      <w:r>
        <w:rPr>
          <w:bCs/>
          <w:b/>
        </w:rPr>
        <w:t xml:space="preserve">Digital Expansion in Córdoba:</w:t>
      </w:r>
      <w:r>
        <w:t xml:space="preserve"> </w:t>
      </w:r>
      <w:r>
        <w:t xml:space="preserve">Launch a localized telehealth platform optimized for low-bandwidth areas, targeting rural Córdoba communities currently underserved. Early pilot data shows 40% interest from Villa María and Rio Cuarto residents.</w:t>
      </w:r>
    </w:p>
    <w:p>
      <w:pPr>
        <w:numPr>
          <w:ilvl w:val="0"/>
          <w:numId w:val="1003"/>
        </w:numPr>
        <w:pStyle w:val="Compact"/>
      </w:pPr>
      <w:r>
        <w:rPr>
          <w:bCs/>
          <w:b/>
        </w:rPr>
        <w:t xml:space="preserve">Sector-Specific Programming:</w:t>
      </w:r>
      <w:r>
        <w:t xml:space="preserve"> </w:t>
      </w:r>
      <w:r>
        <w:t xml:space="preserve">Develop manufacturing industry-focused mental health programs for Córdoba's automotive sector (Toyota, Ford), addressing workplace stress linked to production pressures – estimated 25% revenue increase from corporate contracts.</w:t>
      </w:r>
    </w:p>
    <w:bookmarkEnd w:id="26"/>
    <w:bookmarkStart w:id="27" w:name="conclusion-the-path-forward"/>
    <w:p>
      <w:pPr>
        <w:pStyle w:val="Heading2"/>
      </w:pPr>
      <w:r>
        <w:t xml:space="preserve">Conclusion: The Path Forward</w:t>
      </w:r>
    </w:p>
    <w:p>
      <w:pPr>
        <w:pStyle w:val="FirstParagraph"/>
      </w:pPr>
      <w:r>
        <w:t xml:space="preserve">This Sales Report confirms that our psychology practice has successfully established a sustainable business model within Argentina Córdoba's complex healthcare environment. By prioritizing cultural responsiveness, economic adaptability, and community engagement, we've transformed clinical service delivery into a viable commercial enterprise that serves the region's mental health needs. As Argentina continues navigating economic challenges, our psychologist-led approach – grounded in Córdoba's specific realities – positions us for continued growth while fulfilling our mission to make quality psychological care accessible across the province.</w:t>
      </w:r>
    </w:p>
    <w:p>
      <w:pPr>
        <w:pStyle w:val="BodyText"/>
      </w:pPr>
      <w:r>
        <w:t xml:space="preserve">The data presented underscores that investing in culturally intelligent psychology services is not only ethically sound but also commercially strategic within Argentina's evolving healthcare landscape. For any psychologist operating in Córdoba, this Sales Report serves as a blueprint for balancing financial sustainability with community impact – proving that mental health excellence can thrive even amid Argentina's most challenging economic conditions.</w:t>
      </w:r>
    </w:p>
    <w:p>
      <w:pPr>
        <w:pStyle w:val="BodyText"/>
      </w:pPr>
      <w:r>
        <w:rPr>
          <w:iCs/>
          <w:i/>
        </w:rPr>
        <w:t xml:space="preserve">Prepared by: [Your Psychology Practice Name] | Date: October 26, 2023 | Confidential Business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Practice Sales Report: Argentina Córdoba</dc:title>
  <dc:creator/>
  <dc:language>en</dc:language>
  <cp:keywords/>
  <dcterms:created xsi:type="dcterms:W3CDTF">2026-07-23T18:03:17Z</dcterms:created>
  <dcterms:modified xsi:type="dcterms:W3CDTF">2026-07-23T18:03:17Z</dcterms:modified>
</cp:coreProperties>
</file>

<file path=docProps/custom.xml><?xml version="1.0" encoding="utf-8"?>
<Properties xmlns="http://schemas.openxmlformats.org/officeDocument/2006/custom-properties" xmlns:vt="http://schemas.openxmlformats.org/officeDocument/2006/docPropsVTypes"/>
</file>