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0" w:name="X88f0363388ef7186cab4d91b3d26849434fcbbd"/>
    <w:p>
      <w:pPr>
        <w:pStyle w:val="Heading1"/>
      </w:pPr>
      <w:r>
        <w:t xml:space="preserve">Sales Report: Psychological Services Performance in Canada Toronto Market (Q3 2023)</w:t>
      </w:r>
    </w:p>
    <w:bookmarkStart w:id="20" w:name="executive-summary"/>
    <w:p>
      <w:pPr>
        <w:pStyle w:val="Heading2"/>
      </w:pPr>
      <w:r>
        <w:t xml:space="preserve">Executive Summary</w:t>
      </w:r>
    </w:p>
    <w:p>
      <w:pPr>
        <w:pStyle w:val="FirstParagraph"/>
      </w:pPr>
      <w:r>
        <w:t xml:space="preserve">This comprehensive Sales Report details the performance of psychological services within the Canada Toronto market during Q3 2023. As a leading independent psychologist practice operating across Ontario's largest metropolitan hub, we've observed significant growth in demand for evidence-based mental health solutions. The report confirms that Toronto's unique demographic and socio-economic landscape has positioned our practice as a high-demand provider, with service bookings increasing by 34% year-over-year. This document outlines critical sales metrics, market trends, and strategic recommendations to sustain growth within Canada's most competitive psychological services market.</w:t>
      </w:r>
    </w:p>
    <w:bookmarkEnd w:id="20"/>
    <w:bookmarkStart w:id="21" w:name="X028b18f534174f9b2c7369bcc3293380bf23d82"/>
    <w:p>
      <w:pPr>
        <w:pStyle w:val="Heading2"/>
      </w:pPr>
      <w:r>
        <w:t xml:space="preserve">Market Context: Psychology Services in Canada Toronto</w:t>
      </w:r>
    </w:p>
    <w:p>
      <w:pPr>
        <w:pStyle w:val="FirstParagraph"/>
      </w:pPr>
      <w:r>
        <w:t xml:space="preserve">Canada Toronto represents a $1.8 billion mental health services market (Statistics Canada 2023), with demand driven by urbanization, rising anxiety disorders (up 47% since 2019 per CAMH data), and improved insurance coverage under OHIP+ initiatives. As a psychologist operating in this ecosystem, we face both unprecedented opportunity and complex challenges. The city's diverse population (60% visible minorities, 35% foreign-born residents) demands culturally competent care – a service we've strategically integrated into our practice model. Notably, Toronto accounts for 22% of Canada's total psychology practitioners despite housing only 18% of the national population, highlighting intense market saturation requiring exceptional differentiation.</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Bookings (Q3 2023)</w:t>
      </w:r>
    </w:p>
    <w:p>
      <w:pPr>
        <w:pStyle w:val="BodyText"/>
      </w:pPr>
      <w:r>
        <w:t xml:space="preserve">% Change YoY</w:t>
      </w:r>
    </w:p>
    <w:p>
      <w:pPr>
        <w:pStyle w:val="BodyText"/>
      </w:pPr>
      <w:r>
        <w:t xml:space="preserve">Average Revenue Per Session</w:t>
      </w:r>
    </w:p>
    <w:p>
      <w:pPr>
        <w:pStyle w:val="BodyText"/>
      </w:pPr>
      <w:r>
        <w:t xml:space="preserve">Cognitive Behavioral Therapy (CBT)</w:t>
      </w:r>
    </w:p>
    <w:p>
      <w:pPr>
        <w:pStyle w:val="BodyText"/>
      </w:pPr>
      <w:r>
        <w:t xml:space="preserve">1,850</w:t>
      </w:r>
    </w:p>
    <w:p>
      <w:pPr>
        <w:pStyle w:val="BodyText"/>
      </w:pPr>
      <w:r>
        <w:t xml:space="preserve">+41%</w:t>
      </w:r>
    </w:p>
    <w:p>
      <w:pPr>
        <w:pStyle w:val="BodyText"/>
      </w:pPr>
      <w:r>
        <w:t xml:space="preserve">$225 CAD</w:t>
      </w:r>
    </w:p>
    <w:p>
      <w:pPr>
        <w:pStyle w:val="BodyText"/>
      </w:pPr>
      <w:r>
        <w:t xml:space="preserve">Child &amp; Adolescent Therapy</w:t>
      </w:r>
    </w:p>
    <w:p>
      <w:pPr>
        <w:pStyle w:val="BodyText"/>
      </w:pPr>
      <w:r>
        <w:t xml:space="preserve">760</w:t>
      </w:r>
    </w:p>
    <w:p>
      <w:pPr>
        <w:pStyle w:val="BodyText"/>
      </w:pPr>
      <w:r>
        <w:t xml:space="preserve">+38%</w:t>
      </w:r>
    </w:p>
    <w:p>
      <w:pPr>
        <w:pStyle w:val="BodyText"/>
      </w:pPr>
      <w:r>
        <w:br/>
      </w:r>
    </w:p>
    <w:p>
      <w:pPr>
        <w:pStyle w:val="BodyText"/>
      </w:pPr>
      <w:r>
        <w:t xml:space="preserve">$210 CAD</w:t>
      </w:r>
    </w:p>
    <w:p>
      <w:pPr>
        <w:pStyle w:val="BodyText"/>
      </w:pPr>
      <w:r>
        <w:br/>
      </w:r>
    </w:p>
    <w:p>
      <w:pPr>
        <w:pStyle w:val="BodyText"/>
      </w:pPr>
      <w:r>
        <w:t xml:space="preserve">Digital Therapeutics (Telehealth)</w:t>
      </w:r>
    </w:p>
    <w:p>
      <w:pPr>
        <w:pStyle w:val="BodyText"/>
      </w:pPr>
      <w:r>
        <w:t xml:space="preserve">985</w:t>
      </w:r>
    </w:p>
    <w:p>
      <w:pPr>
        <w:pStyle w:val="BodyText"/>
      </w:pPr>
      <w:r>
        <w:t xml:space="preserve">+67%*</w:t>
      </w:r>
    </w:p>
    <w:p>
      <w:pPr>
        <w:pStyle w:val="BodyText"/>
      </w:pPr>
      <w:r>
        <w:t xml:space="preserve">$195 CAD</w:t>
      </w:r>
    </w:p>
    <w:p>
      <w:pPr>
        <w:pStyle w:val="BodyText"/>
      </w:pPr>
      <w:r>
        <w:t xml:space="preserve">Total Bookings</w:t>
      </w:r>
    </w:p>
    <w:p>
      <w:pPr>
        <w:pStyle w:val="BodyText"/>
      </w:pPr>
      <w:r>
        <w:t xml:space="preserve">3,595</w:t>
      </w:r>
    </w:p>
    <w:p>
      <w:pPr>
        <w:pStyle w:val="BodyText"/>
      </w:pPr>
      <w:r>
        <w:br/>
      </w:r>
    </w:p>
    <w:p>
      <w:pPr>
        <w:pStyle w:val="BodyText"/>
      </w:pPr>
      <w:r>
        <w:t xml:space="preserve">+34%</w:t>
      </w:r>
    </w:p>
    <w:p>
      <w:pPr>
        <w:pStyle w:val="BodyText"/>
      </w:pPr>
      <w:r>
        <w:br/>
      </w:r>
    </w:p>
    <w:p>
      <w:pPr>
        <w:pStyle w:val="BodyText"/>
      </w:pPr>
      <w:r>
        <w:t xml:space="preserve">$218 CAD avg.</w:t>
      </w:r>
    </w:p>
    <w:p>
      <w:pPr>
        <w:pStyle w:val="BodyText"/>
      </w:pPr>
      <w:r>
        <w:br/>
      </w:r>
    </w:p>
    <w:p>
      <w:pPr>
        <w:pStyle w:val="BodyText"/>
      </w:pPr>
      <w:r>
        <w:t xml:space="preserve">*Digital therapeutics growth reflects Ontario's accelerated adoption of virtual care post-pandemic (Ministry of Health, 2023)</w:t>
      </w:r>
    </w:p>
    <w:bookmarkEnd w:id="22"/>
    <w:bookmarkStart w:id="26" w:name="Xc419c2241e73597b16783bfdda85993de90cbcc"/>
    <w:p>
      <w:pPr>
        <w:pStyle w:val="Heading2"/>
      </w:pPr>
      <w:r>
        <w:t xml:space="preserve">Key Sales Insights: Toronto-Specific Dynamics</w:t>
      </w:r>
    </w:p>
    <w:p>
      <w:pPr>
        <w:pStyle w:val="FirstParagraph"/>
      </w:pPr>
      <w:r>
        <w:t xml:space="preserve">Our sales data reveals three Toronto-specific market dynamics driving success:</w:t>
      </w:r>
    </w:p>
    <w:bookmarkStart w:id="23" w:name="insurance-integration-advantage"/>
    <w:p>
      <w:pPr>
        <w:pStyle w:val="Heading3"/>
      </w:pPr>
      <w:r>
        <w:t xml:space="preserve">1. Insurance Integration Advantage</w:t>
      </w:r>
    </w:p>
    <w:p>
      <w:pPr>
        <w:pStyle w:val="FirstParagraph"/>
      </w:pPr>
      <w:r>
        <w:t xml:space="preserve">Toronto's high concentration of private insurers (40% of Canadian providers operate here) has been pivotal. We've secured direct billing agreements with 12 major insurers including Sun Life, Canada Life, and CIBC Health – a strategic move that reduced client no-show rates by 28% compared to national averages. This Toronto-focused insurance strategy directly contributed to our 34% YoY booking growth.</w:t>
      </w:r>
    </w:p>
    <w:bookmarkEnd w:id="23"/>
    <w:bookmarkStart w:id="24" w:name="cultural-competency-as-sales-driver"/>
    <w:p>
      <w:pPr>
        <w:pStyle w:val="Heading3"/>
      </w:pPr>
      <w:r>
        <w:t xml:space="preserve">2. Cultural Competency as Sales Driver</w:t>
      </w:r>
    </w:p>
    <w:p>
      <w:pPr>
        <w:pStyle w:val="FirstParagraph"/>
      </w:pPr>
      <w:r>
        <w:t xml:space="preserve">Client acquisition costs decreased by 19% after implementing Toronto-specific cultural training for our psychologist team. We now serve 68% of clients from visible minority backgrounds – a critical factor in a city where 57% of residents identify as non-white (2021 Census). This cultural alignment has become the cornerstone of our Toronto sales strategy, reflected in our 92% client retention rate versus the national average of 78%.</w:t>
      </w:r>
    </w:p>
    <w:bookmarkEnd w:id="24"/>
    <w:bookmarkStart w:id="25" w:name="sector-specific-demand"/>
    <w:p>
      <w:pPr>
        <w:pStyle w:val="Heading3"/>
      </w:pPr>
      <w:r>
        <w:t xml:space="preserve">3. Sector-Specific Demand</w:t>
      </w:r>
    </w:p>
    <w:p>
      <w:pPr>
        <w:pStyle w:val="FirstParagraph"/>
      </w:pPr>
      <w:r>
        <w:t xml:space="preserve">Toronto's unique economic profile created specialized demand channels:</w:t>
      </w:r>
    </w:p>
    <w:p>
      <w:pPr>
        <w:numPr>
          <w:ilvl w:val="0"/>
          <w:numId w:val="1001"/>
        </w:numPr>
        <w:pStyle w:val="Compact"/>
      </w:pPr>
      <w:r>
        <w:t xml:space="preserve">Corporate partnerships with 15 Fortune 500 companies (including Shopify, RBC) for employee mental health programs (+42% revenue from corporate contracts)</w:t>
      </w:r>
    </w:p>
    <w:p>
      <w:pPr>
        <w:numPr>
          <w:ilvl w:val="0"/>
          <w:numId w:val="1001"/>
        </w:numPr>
        <w:pStyle w:val="Compact"/>
      </w:pPr>
      <w:r>
        <w:t xml:space="preserve">University collaborations (University of Toronto, Ryerson) for student counseling services (+33% growth)</w:t>
      </w:r>
    </w:p>
    <w:p>
      <w:pPr>
        <w:numPr>
          <w:ilvl w:val="0"/>
          <w:numId w:val="1001"/>
        </w:numPr>
        <w:pStyle w:val="Compact"/>
      </w:pPr>
      <w:r>
        <w:t xml:space="preserve">Immigration support clinics serving new arrivals – a service uniquely requested by Toronto's 200k annual immigrants</w:t>
      </w:r>
    </w:p>
    <w:bookmarkEnd w:id="25"/>
    <w:bookmarkEnd w:id="26"/>
    <w:bookmarkStart w:id="27" w:name="challenges-in-the-canada-toronto-market"/>
    <w:p>
      <w:pPr>
        <w:pStyle w:val="Heading2"/>
      </w:pPr>
      <w:r>
        <w:t xml:space="preserve">Challenges in the Canada Toronto Market</w:t>
      </w:r>
    </w:p>
    <w:p>
      <w:pPr>
        <w:pStyle w:val="FirstParagraph"/>
      </w:pPr>
      <w:r>
        <w:t xml:space="preserve">Despite strong performance, our psychologist practice faces three critical Toronto-specific challenges requiring strategic intervention:</w:t>
      </w:r>
    </w:p>
    <w:p>
      <w:pPr>
        <w:numPr>
          <w:ilvl w:val="0"/>
          <w:numId w:val="1002"/>
        </w:numPr>
        <w:pStyle w:val="Compact"/>
      </w:pPr>
      <w:r>
        <w:rPr>
          <w:bCs/>
          <w:b/>
        </w:rPr>
        <w:t xml:space="preserve">Provider Shortage Crisis:</w:t>
      </w:r>
      <w:r>
        <w:t xml:space="preserve"> </w:t>
      </w:r>
      <w:r>
        <w:t xml:space="preserve">Toronto experiences a 17% deficit in licensed psychologists versus population needs (Ontario Psychological Association). This drives 3-6 week appointment wait times industry-wide – a key competitive differentiator we must address.</w:t>
      </w:r>
    </w:p>
    <w:p>
      <w:pPr>
        <w:numPr>
          <w:ilvl w:val="0"/>
          <w:numId w:val="1002"/>
        </w:numPr>
        <w:pStyle w:val="Compact"/>
      </w:pPr>
      <w:r>
        <w:rPr>
          <w:bCs/>
          <w:b/>
        </w:rPr>
        <w:t xml:space="preserve">Clinic Location Competition:</w:t>
      </w:r>
      <w:r>
        <w:t xml:space="preserve"> </w:t>
      </w:r>
      <w:r>
        <w:t xml:space="preserve">High commercial rents in downtown Toronto (avg. $85/sqft) have forced us to optimize clinic locations. We've opened a satellite office in Scarborough to reduce travel barriers for 32% of our clients who reside outside the core downtown area.</w:t>
      </w:r>
    </w:p>
    <w:p>
      <w:pPr>
        <w:numPr>
          <w:ilvl w:val="0"/>
          <w:numId w:val="1002"/>
        </w:numPr>
        <w:pStyle w:val="Compact"/>
      </w:pPr>
      <w:r>
        <w:rPr>
          <w:bCs/>
          <w:b/>
        </w:rPr>
        <w:t xml:space="preserve">Regulatory Complexity:</w:t>
      </w:r>
      <w:r>
        <w:t xml:space="preserve"> </w:t>
      </w:r>
      <w:r>
        <w:t xml:space="preserve">Ontario's College of Psychologists mandates stringent continuing education requirements. We've allocated $48,000 quarterly for Toronto-specific compliance training – a necessary cost we now factor into our pricing strategy.</w:t>
      </w:r>
    </w:p>
    <w:bookmarkEnd w:id="27"/>
    <w:bookmarkStart w:id="28" w:name="strategic-recommendations-for-q4-2023"/>
    <w:p>
      <w:pPr>
        <w:pStyle w:val="Heading2"/>
      </w:pPr>
      <w:r>
        <w:t xml:space="preserve">Strategic Recommendations for Q4 2023</w:t>
      </w:r>
    </w:p>
    <w:p>
      <w:pPr>
        <w:pStyle w:val="FirstParagraph"/>
      </w:pPr>
      <w:r>
        <w:t xml:space="preserve">To maintain leadership in the Canada Toronto market, we propose three priority initiatives:</w:t>
      </w:r>
    </w:p>
    <w:p>
      <w:pPr>
        <w:numPr>
          <w:ilvl w:val="0"/>
          <w:numId w:val="1003"/>
        </w:numPr>
        <w:pStyle w:val="Compact"/>
      </w:pPr>
      <w:r>
        <w:rPr>
          <w:bCs/>
          <w:b/>
        </w:rPr>
        <w:t xml:space="preserve">Expand Telehealth Capacity:</w:t>
      </w:r>
      <w:r>
        <w:t xml:space="preserve"> </w:t>
      </w:r>
      <w:r>
        <w:t xml:space="preserve">Invest $65,000 to launch a dedicated virtual care platform targeting suburban Toronto neighborhoods with low service access (Mississauga, Markham). This directly addresses the 41% of our current clients citing travel as a barrier to treatment.</w:t>
      </w:r>
    </w:p>
    <w:p>
      <w:pPr>
        <w:numPr>
          <w:ilvl w:val="0"/>
          <w:numId w:val="1003"/>
        </w:numPr>
        <w:pStyle w:val="Compact"/>
      </w:pPr>
      <w:r>
        <w:rPr>
          <w:bCs/>
          <w:b/>
        </w:rPr>
        <w:t xml:space="preserve">Cultural Certification Program:</w:t>
      </w:r>
      <w:r>
        <w:t xml:space="preserve"> </w:t>
      </w:r>
      <w:r>
        <w:t xml:space="preserve">Develop Toronto-specific training modules for our psychologist team on indigenous mental health practices and refugee trauma. This will position us as the first practice in Canada Toronto with dual certification from First Nations Health Authority and CAMH.</w:t>
      </w:r>
    </w:p>
    <w:p>
      <w:pPr>
        <w:numPr>
          <w:ilvl w:val="0"/>
          <w:numId w:val="1003"/>
        </w:numPr>
        <w:pStyle w:val="Compact"/>
      </w:pPr>
      <w:r>
        <w:rPr>
          <w:bCs/>
          <w:b/>
        </w:rPr>
        <w:t xml:space="preserve">Corporate Wellness Bundling:</w:t>
      </w:r>
      <w:r>
        <w:t xml:space="preserve"> </w:t>
      </w:r>
      <w:r>
        <w:t xml:space="preserve">Create tiered subscription packages for Toronto businesses (e.g., "Stress Resilience Package" for 50+ employees at $12,500/quarter). This targets the city's 42% corporate growth in mental health benefits – a market segment projected to grow at 23% annually.</w:t>
      </w:r>
    </w:p>
    <w:bookmarkEnd w:id="28"/>
    <w:bookmarkStart w:id="29" w:name="Xcb47b235d3f02f14a8d99a5df5d5cd43f2cc8c0"/>
    <w:p>
      <w:pPr>
        <w:pStyle w:val="Heading2"/>
      </w:pPr>
      <w:r>
        <w:t xml:space="preserve">Conclusion: The Future of Psychology Sales in Canada Toronto</w:t>
      </w:r>
    </w:p>
    <w:p>
      <w:pPr>
        <w:pStyle w:val="FirstParagraph"/>
      </w:pPr>
      <w:r>
        <w:t xml:space="preserve">This Q3 Sales Report confirms that psychology services in Canada Toronto are not merely profitable, but strategically vital within the province's mental health infrastructure. Our practice has evolved from a standard clinical service to a market leader by embedding Toronto-specific operational insights into every sales initiative. The 34% growth trajectory demonstrates that psychological care is no longer a luxury but an essential urban service – particularly in Canada's most diverse city where demand outstrips supply by 32%.</w:t>
      </w:r>
    </w:p>
    <w:p>
      <w:pPr>
        <w:pStyle w:val="BodyText"/>
      </w:pPr>
      <w:r>
        <w:t xml:space="preserve">As we move into Q4, our focus remains on leveraging Toronto's unique demographic and economic profile to innovate beyond traditional therapy models. By prioritizing cultural accessibility, insurance integration, and hyper-localized service delivery, this practice will continue to set the standard for psychological sales performance in Canada Toronto. The data is clear: when psychology services align with Toronto's specific community needs, they achieve both clinical excellence and sustainable business growth – a model now being replicated across Ontario.</w:t>
      </w:r>
    </w:p>
    <w:p>
      <w:pPr>
        <w:pStyle w:val="BodyText"/>
      </w:pPr>
      <w:r>
        <w:rPr>
          <w:bCs/>
          <w:b/>
        </w:rPr>
        <w:t xml:space="preserve">Prepared For:</w:t>
      </w:r>
      <w:r>
        <w:t xml:space="preserve"> </w:t>
      </w:r>
      <w:r>
        <w:t xml:space="preserve">Executive Leadership Team, Ontario Psychology Association Board</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Canada Toronto Market Analysis</dc:title>
  <dc:creator/>
  <dc:language>en</dc:language>
  <cp:keywords/>
  <dcterms:created xsi:type="dcterms:W3CDTF">2026-07-23T03:18:06Z</dcterms:created>
  <dcterms:modified xsi:type="dcterms:W3CDTF">2026-07-23T03:18:06Z</dcterms:modified>
</cp:coreProperties>
</file>

<file path=docProps/custom.xml><?xml version="1.0" encoding="utf-8"?>
<Properties xmlns="http://schemas.openxmlformats.org/officeDocument/2006/custom-properties" xmlns:vt="http://schemas.openxmlformats.org/officeDocument/2006/docPropsVTypes"/>
</file>