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32" w:name="Xcf39517488d4691910fdf4e877a7bd3495b368f"/>
    <w:p>
      <w:pPr>
        <w:pStyle w:val="Heading1"/>
      </w:pPr>
      <w:r>
        <w:t xml:space="preserve">Professional Sales Report: Psychological Services Market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Q3 2023 (July-September)</w:t>
      </w:r>
    </w:p>
    <w:bookmarkStart w:id="21" w:name="i.-executive-summary"/>
    <w:p>
      <w:pPr>
        <w:pStyle w:val="Heading2"/>
      </w:pPr>
      <w:r>
        <w:t xml:space="preserve">I. Executive Summary</w:t>
      </w:r>
    </w:p>
    <w:p>
      <w:pPr>
        <w:pStyle w:val="FirstParagraph"/>
      </w:pPr>
      <w:r>
        <w:t xml:space="preserve">This Sales Report details the performance and market dynamics of psychological services in China Guangzhou, analyzing client acquisition, revenue streams, and strategic opportunities for licensed Psychologists operating in this rapidly evolving urban center. Guangzhou's unique cultural landscape and economic growth have created unprecedented demand for mental health professionals. Our practice achieved a 32% year-over-year increase in client consultations during Q3 2023, with Guangzhou contributing 68% of total national revenue – underscoring its position as the critical growth engine for our psychological services business.</w:t>
      </w:r>
    </w:p>
    <w:bookmarkStart w:id="20" w:name="key-insight"/>
    <w:p>
      <w:pPr>
        <w:pStyle w:val="Heading3"/>
      </w:pPr>
      <w:r>
        <w:t xml:space="preserve">Key Insight:</w:t>
      </w:r>
    </w:p>
    <w:p>
      <w:pPr>
        <w:pStyle w:val="FirstParagraph"/>
      </w:pPr>
      <w:r>
        <w:t xml:space="preserve">Guangzhou has emerged as China's most promising market for psychologist-led mental health services, driven by rising urbanization, corporate wellness programs, and government initiatives to address mental health stigma. This report confirms that strategic investment in Guangzhou directly correlates with 87% of our national sales growth.</w:t>
      </w:r>
    </w:p>
    <w:bookmarkEnd w:id="20"/>
    <w:bookmarkEnd w:id="21"/>
    <w:bookmarkStart w:id="22" w:name="X5c431c7c6338eb5cac19de89ad62359f466c393"/>
    <w:p>
      <w:pPr>
        <w:pStyle w:val="Heading2"/>
      </w:pPr>
      <w:r>
        <w:t xml:space="preserve">II. Market Context: China Guangzhou Psychological Landscape</w:t>
      </w:r>
    </w:p>
    <w:p>
      <w:pPr>
        <w:pStyle w:val="FirstParagraph"/>
      </w:pPr>
      <w:r>
        <w:t xml:space="preserve">Guangzhou's population exceeds 18 million, making it the third-largest city in China and a major economic hub for southern China. Recent government policies under "Healthy China 2030" have prioritized mental health infrastructure development, allocating over ¥15 billion for regional counseling centers in Guangdong Province. However, the psychologist-to-resident ratio remains critically low at 1:23,000 – far below WHO recommendations of 1:12,000.</w:t>
      </w:r>
    </w:p>
    <w:p>
      <w:pPr>
        <w:pStyle w:val="BodyText"/>
      </w:pPr>
      <w:r>
        <w:t xml:space="preserve">Our market analysis reveals three key demand drivers specific to China Guangzhou:</w:t>
      </w:r>
    </w:p>
    <w:p>
      <w:pPr>
        <w:numPr>
          <w:ilvl w:val="0"/>
          <w:numId w:val="1001"/>
        </w:numPr>
        <w:pStyle w:val="Compact"/>
      </w:pPr>
      <w:r>
        <w:rPr>
          <w:bCs/>
          <w:b/>
        </w:rPr>
        <w:t xml:space="preserve">Corporate Demand:</w:t>
      </w:r>
      <w:r>
        <w:t xml:space="preserve"> </w:t>
      </w:r>
      <w:r>
        <w:t xml:space="preserve">Major multinational HQs (including Tencent, Huawei) now mandate psychologist services for employee wellness programs. Guangzhou hosts 18% of China's Fortune 500 headquarters, creating consistent B2B sales opportunities.</w:t>
      </w:r>
    </w:p>
    <w:p>
      <w:pPr>
        <w:numPr>
          <w:ilvl w:val="0"/>
          <w:numId w:val="1001"/>
        </w:numPr>
        <w:pStyle w:val="Compact"/>
      </w:pPr>
      <w:r>
        <w:rPr>
          <w:bCs/>
          <w:b/>
        </w:rPr>
        <w:t xml:space="preserve">Cultural Shift:</w:t>
      </w:r>
      <w:r>
        <w:t xml:space="preserve"> </w:t>
      </w:r>
      <w:r>
        <w:t xml:space="preserve">Younger generations (Gen Z/Alpha) in Guangzhou show 47% higher acceptance of therapy than national average, driven by social media awareness campaigns and reduced stigma around mental health.</w:t>
      </w:r>
    </w:p>
    <w:p>
      <w:pPr>
        <w:numPr>
          <w:ilvl w:val="0"/>
          <w:numId w:val="1001"/>
        </w:numPr>
        <w:pStyle w:val="Compact"/>
      </w:pPr>
      <w:r>
        <w:rPr>
          <w:bCs/>
          <w:b/>
        </w:rPr>
        <w:t xml:space="preserve">Government Partnerships:</w:t>
      </w:r>
      <w:r>
        <w:t xml:space="preserve"> </w:t>
      </w:r>
      <w:r>
        <w:t xml:space="preserve">Municipal health bureaus now contract psychologists for public school counseling programs – a new revenue stream accounting for 22% of Q3 sales in Guangzhou.</w:t>
      </w:r>
    </w:p>
    <w:bookmarkEnd w:id="22"/>
    <w:bookmarkStart w:id="24" w:name="X70f7fbcffd00fd203e515f8f89770710725a498"/>
    <w:p>
      <w:pPr>
        <w:pStyle w:val="Heading2"/>
      </w:pPr>
      <w:r>
        <w:t xml:space="preserve">III. Sales Performance Breakdown: China Guangzhou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Growth Rate</w:t>
            </w:r>
          </w:p>
        </w:tc>
      </w:tr>
      <w:tr>
        <w:tc>
          <w:tcPr/>
          <w:p>
            <w:pPr>
              <w:pStyle w:val="Compact"/>
              <w:jc w:val="left"/>
            </w:pPr>
            <w:r>
              <w:t xml:space="preserve">Total Client Consultations</w:t>
            </w:r>
          </w:p>
        </w:tc>
        <w:tc>
          <w:tcPr/>
          <w:p>
            <w:pPr>
              <w:pStyle w:val="Compact"/>
              <w:jc w:val="left"/>
            </w:pPr>
            <w:r>
              <w:t xml:space="preserve">1,847</w:t>
            </w:r>
          </w:p>
        </w:tc>
        <w:tc>
          <w:tcPr/>
          <w:p>
            <w:pPr>
              <w:pStyle w:val="Compact"/>
              <w:jc w:val="left"/>
            </w:pPr>
            <w:r>
              <w:t xml:space="preserve">1,399</w:t>
            </w:r>
          </w:p>
        </w:tc>
        <w:tc>
          <w:tcPr/>
          <w:p>
            <w:pPr>
              <w:pStyle w:val="Compact"/>
              <w:jc w:val="left"/>
            </w:pPr>
            <w:r>
              <w:t xml:space="preserve">+32.0%</w:t>
            </w:r>
          </w:p>
        </w:tc>
      </w:tr>
      <w:tr>
        <w:tc>
          <w:tcPr/>
          <w:p>
            <w:pPr>
              <w:pStyle w:val="Compact"/>
              <w:jc w:val="left"/>
            </w:pPr>
            <w:r>
              <w:t xml:space="preserve">Corporate Contracts Secured</w:t>
            </w:r>
          </w:p>
        </w:tc>
        <w:tc>
          <w:tcPr/>
          <w:p>
            <w:pPr>
              <w:pStyle w:val="Compact"/>
              <w:jc w:val="left"/>
            </w:pPr>
            <w:r>
              <w:t xml:space="preserve">14 (including 3 Fortune 500)</w:t>
            </w:r>
          </w:p>
        </w:tc>
        <w:tc>
          <w:tcPr/>
          <w:p>
            <w:pPr>
              <w:pStyle w:val="Compact"/>
              <w:jc w:val="left"/>
            </w:pPr>
            <w:r>
              <w:t xml:space="preserve">8</w:t>
            </w:r>
          </w:p>
        </w:tc>
        <w:tc>
          <w:tcPr/>
          <w:p>
            <w:pPr>
              <w:pStyle w:val="Compact"/>
              <w:jc w:val="left"/>
            </w:pPr>
            <w:r>
              <w:t xml:space="preserve">+75.0%</w:t>
            </w:r>
          </w:p>
        </w:tc>
      </w:tr>
      <w:tr>
        <w:tc>
          <w:tcPr/>
          <w:p>
            <w:pPr>
              <w:pStyle w:val="Compact"/>
              <w:jc w:val="left"/>
            </w:pPr>
            <w:r>
              <w:t xml:space="preserve">Avg. Revenue per Psychologist</w:t>
            </w:r>
          </w:p>
        </w:tc>
        <w:tc>
          <w:tcPr/>
          <w:p>
            <w:pPr>
              <w:pStyle w:val="Compact"/>
              <w:jc w:val="left"/>
            </w:pPr>
            <w:r>
              <w:t xml:space="preserve">CNY 89,200</w:t>
            </w:r>
          </w:p>
        </w:tc>
        <w:tc>
          <w:tcPr/>
          <w:p>
            <w:pPr>
              <w:pStyle w:val="Compact"/>
              <w:jc w:val="left"/>
            </w:pPr>
            <w:r>
              <w:t xml:space="preserve">CNY 67,500</w:t>
            </w:r>
          </w:p>
        </w:tc>
        <w:tc>
          <w:tcPr/>
          <w:p>
            <w:pPr>
              <w:pStyle w:val="Compact"/>
              <w:jc w:val="left"/>
            </w:pPr>
            <w:r>
              <w:t xml:space="preserve">+32.1%</w:t>
            </w:r>
          </w:p>
        </w:tc>
      </w:tr>
      <w:tr>
        <w:tc>
          <w:tcPr/>
          <w:p>
            <w:pPr>
              <w:pStyle w:val="Compact"/>
              <w:jc w:val="left"/>
            </w:pPr>
            <w:r>
              <w:t xml:space="preserve">Client Retention Rate</w:t>
            </w:r>
          </w:p>
        </w:tc>
        <w:tc>
          <w:tcPr/>
          <w:p>
            <w:pPr>
              <w:pStyle w:val="Compact"/>
              <w:jc w:val="left"/>
            </w:pPr>
            <w:r>
              <w:t xml:space="preserve">78.3%</w:t>
            </w:r>
          </w:p>
        </w:tc>
        <w:tc>
          <w:tcPr/>
          <w:p>
            <w:pPr>
              <w:pStyle w:val="Compact"/>
              <w:jc w:val="left"/>
            </w:pPr>
            <w:r>
              <w:t xml:space="preserve">71.6%</w:t>
            </w:r>
          </w:p>
        </w:tc>
        <w:tc>
          <w:tcPr/>
          <w:p>
            <w:pPr>
              <w:pStyle w:val="Compact"/>
              <w:jc w:val="left"/>
            </w:pPr>
            <w:r>
              <w:t xml:space="preserve">+6.7 pts</w:t>
            </w:r>
          </w:p>
        </w:tc>
      </w:tr>
    </w:tbl>
    <w:bookmarkStart w:id="23" w:name="key-sales-channel-analysis-guangzhou"/>
    <w:p>
      <w:pPr>
        <w:pStyle w:val="Heading3"/>
      </w:pPr>
      <w:r>
        <w:t xml:space="preserve">Key Sales Channel Analysis (Guangzhou):</w:t>
      </w:r>
    </w:p>
    <w:p>
      <w:pPr>
        <w:pStyle w:val="FirstParagraph"/>
      </w:pPr>
      <w:r>
        <w:rPr>
          <w:bCs/>
          <w:b/>
        </w:rPr>
        <w:t xml:space="preserve">Corporate Wellness:</w:t>
      </w:r>
      <w:r>
        <w:t xml:space="preserve"> </w:t>
      </w:r>
      <w:r>
        <w:t xml:space="preserve">Generated 52% of revenue through contracts with technology firms (e.g., iFlytek, NIO) offering monthly psychologist sessions for employees. This channel showed strongest growth at +92% YoY.</w:t>
      </w:r>
    </w:p>
    <w:p>
      <w:pPr>
        <w:pStyle w:val="BodyText"/>
      </w:pPr>
      <w:r>
        <w:rPr>
          <w:bCs/>
          <w:b/>
        </w:rPr>
        <w:t xml:space="preserve">Private Practice:</w:t>
      </w:r>
      <w:r>
        <w:t xml:space="preserve"> </w:t>
      </w:r>
      <w:r>
        <w:t xml:space="preserve">38% of revenue from individual clients. High demand for "career transition counseling" among Guangzhou professionals during economic uncertainty – a specialized service our psychologists developed in response to market needs.</w:t>
      </w:r>
    </w:p>
    <w:p>
      <w:pPr>
        <w:pStyle w:val="BodyText"/>
      </w:pPr>
      <w:r>
        <w:rPr>
          <w:bCs/>
          <w:b/>
        </w:rPr>
        <w:t xml:space="preserve">Government Programs:</w:t>
      </w:r>
      <w:r>
        <w:t xml:space="preserve"> </w:t>
      </w:r>
      <w:r>
        <w:t xml:space="preserve">10% of revenue via municipal health initiatives. The new Guangzhou Mental Health Promotion Project increased psychologist demand by 24% in public schools and community centers.</w:t>
      </w:r>
    </w:p>
    <w:bookmarkEnd w:id="23"/>
    <w:bookmarkEnd w:id="24"/>
    <w:bookmarkStart w:id="25" w:name="Xbc8dd8ff7a380d0ecf8670934d08b44f1dfdd39"/>
    <w:p>
      <w:pPr>
        <w:pStyle w:val="Heading2"/>
      </w:pPr>
      <w:r>
        <w:t xml:space="preserve">IV. Challenges Specific to China Guangzhou Market</w:t>
      </w:r>
    </w:p>
    <w:p>
      <w:pPr>
        <w:pStyle w:val="FirstParagraph"/>
      </w:pPr>
      <w:r>
        <w:t xml:space="preserve">Despite strong growth, we identified critical challenges requiring strategic attention:</w:t>
      </w:r>
    </w:p>
    <w:p>
      <w:pPr>
        <w:numPr>
          <w:ilvl w:val="0"/>
          <w:numId w:val="1002"/>
        </w:numPr>
        <w:pStyle w:val="Compact"/>
      </w:pPr>
      <w:r>
        <w:rPr>
          <w:bCs/>
          <w:b/>
        </w:rPr>
        <w:t xml:space="preserve">Cultural Nuances:</w:t>
      </w:r>
      <w:r>
        <w:t xml:space="preserve"> </w:t>
      </w:r>
      <w:r>
        <w:t xml:space="preserve">Many Guangzhou clients initially resist Western therapeutic models. Our sales team implemented "Cultural Integration Training" for psychologists, resulting in 27% higher client satisfaction scores in Q3.</w:t>
      </w:r>
    </w:p>
    <w:p>
      <w:pPr>
        <w:numPr>
          <w:ilvl w:val="0"/>
          <w:numId w:val="1002"/>
        </w:numPr>
        <w:pStyle w:val="Compact"/>
      </w:pPr>
      <w:r>
        <w:rPr>
          <w:bCs/>
          <w:b/>
        </w:rPr>
        <w:t xml:space="preserve">Regulatory Hurdles:</w:t>
      </w:r>
      <w:r>
        <w:t xml:space="preserve"> </w:t>
      </w:r>
      <w:r>
        <w:t xml:space="preserve">Medical licensing requirements vary between Guangdong Province and national standards. We partnered with Guangzhou Health Bureau to streamline certification processes, reducing onboarding time from 8 weeks to 14 days.</w:t>
      </w:r>
    </w:p>
    <w:p>
      <w:pPr>
        <w:numPr>
          <w:ilvl w:val="0"/>
          <w:numId w:val="1002"/>
        </w:numPr>
        <w:pStyle w:val="Compact"/>
      </w:pPr>
      <w:r>
        <w:rPr>
          <w:bCs/>
          <w:b/>
        </w:rPr>
        <w:t xml:space="preserve">Talent Competition:</w:t>
      </w:r>
      <w:r>
        <w:t xml:space="preserve"> </w:t>
      </w:r>
      <w:r>
        <w:t xml:space="preserve">Top psychologists are in high demand across Guangzhou's growing mental health sector. Our sales team increased recruitment bonuses by 20% to retain specialists, directly impacting our ability to scale client capacity.</w:t>
      </w:r>
    </w:p>
    <w:bookmarkEnd w:id="25"/>
    <w:bookmarkStart w:id="29" w:name="X0bc8c0b3ee90e4d873bb36d0bffb83af72dee26"/>
    <w:p>
      <w:pPr>
        <w:pStyle w:val="Heading2"/>
      </w:pPr>
      <w:r>
        <w:t xml:space="preserve">V. Strategic Recommendations for China Guangzhou Expansion</w:t>
      </w:r>
    </w:p>
    <w:bookmarkStart w:id="26" w:name="X94e88d5f0ae5161676f2663fd5af8dbf914c0e9"/>
    <w:p>
      <w:pPr>
        <w:pStyle w:val="Heading3"/>
      </w:pPr>
      <w:r>
        <w:t xml:space="preserve">1. Launch "Guangzhou Wellness Ecosystem" Partnerships</w:t>
      </w:r>
    </w:p>
    <w:p>
      <w:pPr>
        <w:pStyle w:val="FirstParagraph"/>
      </w:pPr>
      <w:r>
        <w:t xml:space="preserve">Develop bundled services with local businesses: Partner with Guangzhou-based fitness chains (e.g., 51 Fitness) and tech apps (Meituan, Pinduoduo) to offer integrated mental + physical health packages. Projected to capture 15% additional market share within 12 months.</w:t>
      </w:r>
    </w:p>
    <w:bookmarkEnd w:id="26"/>
    <w:bookmarkStart w:id="27" w:name="target-high-value-corporate-segments"/>
    <w:p>
      <w:pPr>
        <w:pStyle w:val="Heading3"/>
      </w:pPr>
      <w:r>
        <w:t xml:space="preserve">2. Target High-Value Corporate Segments</w:t>
      </w:r>
    </w:p>
    <w:p>
      <w:pPr>
        <w:pStyle w:val="FirstParagraph"/>
      </w:pPr>
      <w:r>
        <w:t xml:space="preserve">Focus sales efforts on Guangzhou's top 50 manufacturing and e-commerce companies – currently underserved despite high employee stress levels. Customize "Resilience Programs" for these industries, targeting a 40% sales increase in B2B contracts.</w:t>
      </w:r>
    </w:p>
    <w:bookmarkEnd w:id="27"/>
    <w:bookmarkStart w:id="28" w:name="leverage-technology-for-scalability"/>
    <w:p>
      <w:pPr>
        <w:pStyle w:val="Heading3"/>
      </w:pPr>
      <w:r>
        <w:t xml:space="preserve">3. Leverage Technology for Scalability</w:t>
      </w:r>
    </w:p>
    <w:p>
      <w:pPr>
        <w:pStyle w:val="FirstParagraph"/>
      </w:pPr>
      <w:r>
        <w:t xml:space="preserve">Implement AI-driven appointment scheduling integrated with WeChat (China's dominant platform) – reducing no-show rates by 35% in pilot Guangzhou locations. This solution directly addresses the "access barrier" preventing 60% of potential clients from booking sessions.</w:t>
      </w:r>
    </w:p>
    <w:bookmarkEnd w:id="28"/>
    <w:bookmarkEnd w:id="29"/>
    <w:bookmarkStart w:id="31" w:name="vi.-conclusion"/>
    <w:p>
      <w:pPr>
        <w:pStyle w:val="Heading2"/>
      </w:pPr>
      <w:r>
        <w:t xml:space="preserve">VI. Conclusion</w:t>
      </w:r>
    </w:p>
    <w:p>
      <w:pPr>
        <w:pStyle w:val="FirstParagraph"/>
      </w:pPr>
      <w:r>
        <w:t xml:space="preserve">The Sales Report confirms that China Guangzhou represents an unparalleled growth opportunity for psychologist-led mental health services. Our Q3 performance demonstrates that strategic adaptation to local cultural and regulatory contexts directly drives sales success. With 68% of total national revenue originating from this market, we recommend prioritizing Guangzhou in all future expansion plans.</w:t>
      </w:r>
    </w:p>
    <w:p>
      <w:pPr>
        <w:pStyle w:val="BodyText"/>
      </w:pPr>
      <w:r>
        <w:t xml:space="preserve">As the economic heart of southern China, Guangzhou's demand for qualified psychologists will continue rising exponentially. Our competitive edge lies in culturally intelligent service delivery – not merely replicating Western models but innovating solutions that resonate with the unique needs of Guangzhou's residents and corporate landscape. By embedding our psychologist services into Guangzhou's social fabric through strategic partnerships and localized programs, we position ourselves to capture 35%+ of the region's $210 million psychological services market by 2025.</w:t>
      </w:r>
    </w:p>
    <w:bookmarkStart w:id="30" w:name="final-sales-projection"/>
    <w:p>
      <w:pPr>
        <w:pStyle w:val="Heading3"/>
      </w:pPr>
      <w:r>
        <w:t xml:space="preserve">Final Sales Projection:</w:t>
      </w:r>
    </w:p>
    <w:p>
      <w:pPr>
        <w:pStyle w:val="FirstParagraph"/>
      </w:pPr>
      <w:r>
        <w:t xml:space="preserve">With implementation of these recommendations, Guangzhou is projected to generate CNY 14.7 million in sales revenue for Q4 2023 – a 58% increase from Q4 2022 and representing approximately 75% of our national quarterly target.</w:t>
      </w:r>
    </w:p>
    <w:bookmarkEnd w:id="30"/>
    <w:p>
      <w:pPr>
        <w:pStyle w:val="BodyText"/>
      </w:pPr>
      <w:r>
        <w:rPr>
          <w:bCs/>
          <w:b/>
        </w:rPr>
        <w:t xml:space="preserve">Prepared By:</w:t>
      </w:r>
      <w:r>
        <w:t xml:space="preserve"> </w:t>
      </w:r>
      <w:r>
        <w:t xml:space="preserve">Global Mental Health Sales Division</w:t>
      </w:r>
      <w:r>
        <w:br/>
      </w:r>
      <w:r>
        <w:rPr>
          <w:bCs/>
          <w:b/>
        </w:rPr>
        <w:t xml:space="preserve">Contact:</w:t>
      </w:r>
      <w:r>
        <w:t xml:space="preserve"> </w:t>
      </w:r>
      <w:r>
        <w:t xml:space="preserve">sales@psychologychina.com | +86-20-87654321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Guangzhou Market Analysis</dc:title>
  <dc:creator/>
  <dc:language>en</dc:language>
  <cp:keywords/>
  <dcterms:created xsi:type="dcterms:W3CDTF">2026-07-21T06:06:16Z</dcterms:created>
  <dcterms:modified xsi:type="dcterms:W3CDTF">2026-07-21T06:06:16Z</dcterms:modified>
</cp:coreProperties>
</file>

<file path=docProps/custom.xml><?xml version="1.0" encoding="utf-8"?>
<Properties xmlns="http://schemas.openxmlformats.org/officeDocument/2006/custom-properties" xmlns:vt="http://schemas.openxmlformats.org/officeDocument/2006/docPropsVTypes"/>
</file>