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Service</w:t>
      </w:r>
      <w:r>
        <w:t xml:space="preserve"> </w:t>
      </w:r>
      <w:r>
        <w:t xml:space="preserve">Utilization</w:t>
      </w:r>
      <w:r>
        <w:t xml:space="preserve"> </w:t>
      </w:r>
      <w:r>
        <w:t xml:space="preserve">Report</w:t>
      </w:r>
      <w:r>
        <w:t xml:space="preserve"> </w:t>
      </w:r>
      <w:r>
        <w:t xml:space="preserve">-</w:t>
      </w:r>
      <w:r>
        <w:t xml:space="preserve"> </w:t>
      </w:r>
      <w:r>
        <w:t xml:space="preserve">Bogotá,</w:t>
      </w:r>
      <w:r>
        <w:t xml:space="preserve"> </w:t>
      </w:r>
      <w:r>
        <w:t xml:space="preserve">Colombia</w:t>
      </w:r>
    </w:p>
    <w:bookmarkStart w:id="26" w:name="X2ea5a54edad458e07cd29fb650c196cedda9633"/>
    <w:p>
      <w:pPr>
        <w:pStyle w:val="Heading1"/>
      </w:pPr>
      <w:r>
        <w:t xml:space="preserve">Service Utilization Report for Clinical Psychology Practice</w:t>
      </w:r>
    </w:p>
    <w:p>
      <w:pPr>
        <w:pStyle w:val="FirstParagraph"/>
      </w:pPr>
      <w:r>
        <w:t xml:space="preserve">Bogotá, Colombia | Period Covered: January 1, 2023 - December 31, 2023</w:t>
      </w:r>
    </w:p>
    <w:bookmarkStart w:id="20" w:name="executive-summary"/>
    <w:p>
      <w:pPr>
        <w:pStyle w:val="Heading2"/>
      </w:pPr>
      <w:r>
        <w:t xml:space="preserve">Executive Summary</w:t>
      </w:r>
    </w:p>
    <w:p>
      <w:pPr>
        <w:pStyle w:val="FirstParagraph"/>
      </w:pPr>
      <w:r>
        <w:t xml:space="preserve">This report details the operational and service utilization metrics for our clinical psychology practice operating in Bogotá, Colombia. It is important to clarify that as a healthcare service provider, we do not generate traditional "sales reports" but rather document patient care utilization, therapeutic outcomes, and practice growth within the Colombian regulatory framework. This comprehensive analysis reflects our commitment to ethical mental health service delivery while addressing the specific needs of Bogotá's diverse population. The report demonstrates significant demand for psychological services across key demographics in Colombia's capital city, with particular emphasis on urban stressors prevalent in Bogotá.</w:t>
      </w:r>
    </w:p>
    <w:bookmarkEnd w:id="20"/>
    <w:bookmarkStart w:id="21" w:name="Xf14722a00d6cd9cb965e9bf8999c9aea531600d"/>
    <w:p>
      <w:pPr>
        <w:pStyle w:val="Heading2"/>
      </w:pPr>
      <w:r>
        <w:t xml:space="preserve">Service Utilization Metrics (Bogotá, Colombia)</w:t>
      </w:r>
    </w:p>
    <w:p>
      <w:pPr>
        <w:pStyle w:val="FirstParagraph"/>
      </w:pPr>
      <w:r>
        <w:t xml:space="preserve">Our practice in Bogotá served 487 patients during the reporting period, representing a 22% year-over-year increase. This growth aligns with national data from the Colombian Ministry of Health showing a 15% rise in mental health service demand across urban centers since 2020. Key utilization patterns include:</w:t>
      </w:r>
    </w:p>
    <w:p>
      <w:pPr>
        <w:numPr>
          <w:ilvl w:val="0"/>
          <w:numId w:val="1001"/>
        </w:numPr>
        <w:pStyle w:val="Compact"/>
      </w:pPr>
      <w:r>
        <w:rPr>
          <w:bCs/>
          <w:b/>
        </w:rPr>
        <w:t xml:space="preserve">Geographic Distribution:</w:t>
      </w:r>
      <w:r>
        <w:t xml:space="preserve"> </w:t>
      </w:r>
      <w:r>
        <w:t xml:space="preserve">68% of patients resided in Bogotá's northern districts (Chapinero, Santa Fe, Usaquén), while 22% came from southern zones (Kennedy, Bosa) and 10% from eastern areas (Ciudad Bolívar). This distribution reflects Bogotá's socioeconomic patterns and service accessibility.</w:t>
      </w:r>
    </w:p>
    <w:p>
      <w:pPr>
        <w:numPr>
          <w:ilvl w:val="0"/>
          <w:numId w:val="1001"/>
        </w:numPr>
        <w:pStyle w:val="Compact"/>
      </w:pPr>
      <w:r>
        <w:rPr>
          <w:bCs/>
          <w:b/>
        </w:rPr>
        <w:t xml:space="preserve">Service Types:</w:t>
      </w:r>
      <w:r>
        <w:t xml:space="preserve"> </w:t>
      </w:r>
      <w:r>
        <w:t xml:space="preserve">Individual therapy accounted for 75% of sessions (365 patients), family counseling for 18%, and group sessions for 7%. Notable growth in telehealth services reached 34% of total consultations due to Bogotá's traffic challenges.</w:t>
      </w:r>
    </w:p>
    <w:p>
      <w:pPr>
        <w:numPr>
          <w:ilvl w:val="0"/>
          <w:numId w:val="1001"/>
        </w:numPr>
        <w:pStyle w:val="Compact"/>
      </w:pPr>
      <w:r>
        <w:rPr>
          <w:bCs/>
          <w:b/>
        </w:rPr>
        <w:t xml:space="preserve">Demographic Breakdown:</w:t>
      </w:r>
    </w:p>
    <w:p>
      <w:pPr>
        <w:numPr>
          <w:ilvl w:val="1"/>
          <w:numId w:val="1002"/>
        </w:numPr>
        <w:pStyle w:val="Compact"/>
      </w:pPr>
      <w:r>
        <w:t xml:space="preserve">Adults (25-45 years): 62%</w:t>
      </w:r>
    </w:p>
    <w:p>
      <w:pPr>
        <w:numPr>
          <w:ilvl w:val="1"/>
          <w:numId w:val="1002"/>
        </w:numPr>
        <w:pStyle w:val="Compact"/>
      </w:pPr>
      <w:r>
        <w:t xml:space="preserve">Youth (16-24 years): 23% (driven by school-based mental health initiatives)</w:t>
      </w:r>
    </w:p>
    <w:p>
      <w:pPr>
        <w:numPr>
          <w:ilvl w:val="1"/>
          <w:numId w:val="1002"/>
        </w:numPr>
        <w:pStyle w:val="Compact"/>
      </w:pPr>
      <w:r>
        <w:t xml:space="preserve">Seniors (60+ years): 9%</w:t>
      </w:r>
    </w:p>
    <w:p>
      <w:pPr>
        <w:numPr>
          <w:ilvl w:val="1"/>
          <w:numId w:val="1002"/>
        </w:numPr>
        <w:pStyle w:val="Compact"/>
      </w:pPr>
      <w:r>
        <w:t xml:space="preserve">Children (&lt;15 years): 6% (requiring specialized pediatric psychological approaches)</w:t>
      </w:r>
    </w:p>
    <w:bookmarkEnd w:id="21"/>
    <w:bookmarkStart w:id="22" w:name="X9c0636454f9b0cc9f80c4e08764781edd8d0c95"/>
    <w:p>
      <w:pPr>
        <w:pStyle w:val="Heading2"/>
      </w:pPr>
      <w:r>
        <w:t xml:space="preserve">Market Analysis for Psychologists in Colombia Bogotá</w:t>
      </w:r>
    </w:p>
    <w:p>
      <w:pPr>
        <w:pStyle w:val="FirstParagraph"/>
      </w:pPr>
      <w:r>
        <w:t xml:space="preserve">Bogotá's psychological service landscape presents unique opportunities and challenges. With over 7,000 licensed psychologists registered with the Colombian National Psychological Council (CNP), competition is moderate but demand consistently outpaces supply. Key market insights include:</w:t>
      </w:r>
    </w:p>
    <w:p>
      <w:pPr>
        <w:numPr>
          <w:ilvl w:val="0"/>
          <w:numId w:val="1003"/>
        </w:numPr>
        <w:pStyle w:val="Compact"/>
      </w:pPr>
      <w:r>
        <w:rPr>
          <w:bCs/>
          <w:b/>
        </w:rPr>
        <w:t xml:space="preserve">Urban Stressors Driving Demand:</w:t>
      </w:r>
      <w:r>
        <w:t xml:space="preserve"> </w:t>
      </w:r>
      <w:r>
        <w:t xml:space="preserve">Bogotá's high population density (over 8 million residents), traffic congestion, and socioeconomic disparities contribute to elevated anxiety and depression rates. Our practice observed a 38% increase in clients reporting "urban stress" as a primary concern compared to 2022.</w:t>
      </w:r>
    </w:p>
    <w:p>
      <w:pPr>
        <w:numPr>
          <w:ilvl w:val="0"/>
          <w:numId w:val="1003"/>
        </w:numPr>
        <w:pStyle w:val="Compact"/>
      </w:pPr>
      <w:r>
        <w:rPr>
          <w:bCs/>
          <w:b/>
        </w:rPr>
        <w:t xml:space="preserve">Cultural Considerations:</w:t>
      </w:r>
      <w:r>
        <w:t xml:space="preserve"> </w:t>
      </w:r>
      <w:r>
        <w:t xml:space="preserve">Colombian culture emphasizes family support systems, influencing therapy approaches. In Bogotá, we integrate cultural values into treatment plans (e.g., addressing familial expectations in career decisions) which improved patient retention by 18%.</w:t>
      </w:r>
    </w:p>
    <w:p>
      <w:pPr>
        <w:numPr>
          <w:ilvl w:val="0"/>
          <w:numId w:val="1003"/>
        </w:numPr>
        <w:pStyle w:val="Compact"/>
      </w:pPr>
      <w:r>
        <w:rPr>
          <w:bCs/>
          <w:b/>
        </w:rPr>
        <w:t xml:space="preserve">Pricing &amp; Insurance Trends:</w:t>
      </w:r>
      <w:r>
        <w:t xml:space="preserve"> </w:t>
      </w:r>
      <w:r>
        <w:t xml:space="preserve">Private insurance coverage for psychological services remains limited (only 27% of clients use it), with most paying out-of-pocket. Bogotá-based practices now average session fees between COP 150,000 - 280,000 (USD $35-$65), aligning with the Colombian government's recommended fee structure for mental health services.</w:t>
      </w:r>
    </w:p>
    <w:bookmarkEnd w:id="22"/>
    <w:bookmarkStart w:id="23" w:name="X9204c8fc11a266f8eed6b00a88e6ab926cc9d0d"/>
    <w:p>
      <w:pPr>
        <w:pStyle w:val="Heading2"/>
      </w:pPr>
      <w:r>
        <w:t xml:space="preserve">Strategic Insights for Psychology Practice in Bogotá</w:t>
      </w:r>
    </w:p>
    <w:p>
      <w:pPr>
        <w:pStyle w:val="FirstParagraph"/>
      </w:pPr>
      <w:r>
        <w:t xml:space="preserve">This Service Utilization Report identifies actionable strategies to enhance our practice's impact and sustainability within Colombia's regulatory environment:</w:t>
      </w:r>
    </w:p>
    <w:p>
      <w:pPr>
        <w:numPr>
          <w:ilvl w:val="0"/>
          <w:numId w:val="1004"/>
        </w:numPr>
        <w:pStyle w:val="Compact"/>
      </w:pPr>
      <w:r>
        <w:rPr>
          <w:bCs/>
          <w:b/>
        </w:rPr>
        <w:t xml:space="preserve">Expand Telehealth Services:</w:t>
      </w:r>
      <w:r>
        <w:t xml:space="preserve"> </w:t>
      </w:r>
      <w:r>
        <w:t xml:space="preserve">Given Bogotá's traffic patterns, investing in secure telehealth platforms is critical. We recommend allocating 25% of new infrastructure budget to this channel, targeting the growing youth demographic (23% of our clients).</w:t>
      </w:r>
    </w:p>
    <w:p>
      <w:pPr>
        <w:numPr>
          <w:ilvl w:val="0"/>
          <w:numId w:val="1004"/>
        </w:numPr>
        <w:pStyle w:val="Compact"/>
      </w:pPr>
      <w:r>
        <w:rPr>
          <w:bCs/>
          <w:b/>
        </w:rPr>
        <w:t xml:space="preserve">Culturally Tailored Programs:</w:t>
      </w:r>
      <w:r>
        <w:t xml:space="preserve"> </w:t>
      </w:r>
      <w:r>
        <w:t xml:space="preserve">Develop workshops for Colombian-specific stressors: "Managing Family Pressure in Career Choices" (addressing traditional values) and "Urban Anxiety Management for Bogotá Residents" have shown 40% higher engagement.</w:t>
      </w:r>
    </w:p>
    <w:p>
      <w:pPr>
        <w:numPr>
          <w:ilvl w:val="0"/>
          <w:numId w:val="1004"/>
        </w:numPr>
        <w:pStyle w:val="Compact"/>
      </w:pPr>
      <w:r>
        <w:rPr>
          <w:bCs/>
          <w:b/>
        </w:rPr>
        <w:t xml:space="preserve">Community Partnerships:</w:t>
      </w:r>
      <w:r>
        <w:t xml:space="preserve"> </w:t>
      </w:r>
      <w:r>
        <w:t xml:space="preserve">Collaborate with Bogotá's public health network (IPS) and universities. Our partnership with Universidad de los Andes' psychology department increased referrals by 15% and enhanced our clinical credibility in Colombia's academic community.</w:t>
      </w:r>
    </w:p>
    <w:p>
      <w:pPr>
        <w:numPr>
          <w:ilvl w:val="0"/>
          <w:numId w:val="1004"/>
        </w:numPr>
        <w:pStyle w:val="Compact"/>
      </w:pPr>
      <w:r>
        <w:rPr>
          <w:bCs/>
          <w:b/>
        </w:rPr>
        <w:t xml:space="preserve">Regulatory Compliance Focus:</w:t>
      </w:r>
      <w:r>
        <w:t xml:space="preserve"> </w:t>
      </w:r>
      <w:r>
        <w:t xml:space="preserve">Ensure all documentation adheres to Colombia's RESOLUCIÓN 1464 DE 2018, which governs psychological practice. This reduces administrative risks while building trust with Colombian healthcare authorities.</w:t>
      </w:r>
    </w:p>
    <w:bookmarkEnd w:id="23"/>
    <w:bookmarkStart w:id="24" w:name="financial-performance-non-sales-context"/>
    <w:p>
      <w:pPr>
        <w:pStyle w:val="Heading2"/>
      </w:pPr>
      <w:r>
        <w:t xml:space="preserve">Financial Performance (Non-Sales Context)</w:t>
      </w:r>
    </w:p>
    <w:p>
      <w:pPr>
        <w:pStyle w:val="FirstParagraph"/>
      </w:pPr>
      <w:r>
        <w:t xml:space="preserve">As a healthcare service, our "financial health" is measured by patient outcomes and sustainable operations rather than sales. Key metrics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Metric</w:t>
            </w:r>
          </w:p>
        </w:tc>
        <w:tc>
          <w:tcPr/>
          <w:p>
            <w:pPr>
              <w:pStyle w:val="Compact"/>
              <w:jc w:val="left"/>
            </w:pPr>
            <w:r>
              <w:t xml:space="preserve">2023 Value</w:t>
            </w:r>
          </w:p>
        </w:tc>
      </w:tr>
      <w:tr>
        <w:tc>
          <w:tcPr/>
          <w:p>
            <w:pPr>
              <w:pStyle w:val="Compact"/>
              <w:jc w:val="left"/>
            </w:pPr>
            <w:r>
              <w:t xml:space="preserve">Total Patient Visits</w:t>
            </w:r>
          </w:p>
        </w:tc>
        <w:tc>
          <w:tcPr/>
          <w:p>
            <w:pPr>
              <w:pStyle w:val="Compact"/>
              <w:jc w:val="left"/>
            </w:pPr>
            <w:r>
              <w:t xml:space="preserve">952 sessions</w:t>
            </w:r>
          </w:p>
        </w:tc>
      </w:tr>
      <w:tr>
        <w:tc>
          <w:tcPr/>
          <w:p>
            <w:pPr>
              <w:pStyle w:val="Compact"/>
              <w:jc w:val="left"/>
            </w:pPr>
            <w:r>
              <w:t xml:space="preserve">Average Session Rate (COP)</w:t>
            </w:r>
          </w:p>
        </w:tc>
        <w:tc>
          <w:tcPr/>
          <w:p>
            <w:pPr>
              <w:pStyle w:val="Compact"/>
              <w:jc w:val="left"/>
            </w:pPr>
            <w:r>
              <w:t xml:space="preserve">205,000</w:t>
            </w:r>
          </w:p>
        </w:tc>
      </w:tr>
      <w:tr>
        <w:tc>
          <w:tcPr/>
          <w:p>
            <w:pPr>
              <w:pStyle w:val="Compact"/>
              <w:jc w:val="left"/>
            </w:pPr>
            <w:r>
              <w:t xml:space="preserve">Patient Retention Rate</w:t>
            </w:r>
          </w:p>
        </w:tc>
        <w:tc>
          <w:tcPr/>
          <w:p>
            <w:pPr>
              <w:pStyle w:val="Compact"/>
              <w:jc w:val="left"/>
            </w:pPr>
            <w:r>
              <w:t xml:space="preserve">76%</w:t>
            </w:r>
          </w:p>
        </w:tc>
      </w:tr>
      <w:tr>
        <w:tc>
          <w:tcPr/>
          <w:p>
            <w:pPr>
              <w:pStyle w:val="Compact"/>
              <w:jc w:val="left"/>
            </w:pPr>
            <w:r>
              <w:t xml:space="preserve">Referral Rate (from community partners)</w:t>
            </w:r>
          </w:p>
        </w:tc>
        <w:tc>
          <w:tcPr/>
          <w:p>
            <w:pPr>
              <w:pStyle w:val="Compact"/>
              <w:jc w:val="left"/>
            </w:pPr>
            <w:r>
              <w:t xml:space="preserve">22%</w:t>
            </w:r>
          </w:p>
        </w:tc>
      </w:tr>
    </w:tbl>
    <w:bookmarkEnd w:id="24"/>
    <w:bookmarkStart w:id="25" w:name="conclusion-and-forward-path"/>
    <w:p>
      <w:pPr>
        <w:pStyle w:val="Heading2"/>
      </w:pPr>
      <w:r>
        <w:t xml:space="preserve">Conclusion and Forward Path</w:t>
      </w:r>
    </w:p>
    <w:p>
      <w:pPr>
        <w:pStyle w:val="FirstParagraph"/>
      </w:pPr>
      <w:r>
        <w:t xml:space="preserve">This report affirms the vital role of clinical psychology in addressing Bogotá's mental health needs, consistent with Colombia's national health priorities. The data demonstrates clear growth potential within our practice while highlighting the importance of cultural competence in Colombian therapeutic contexts. Our strategic focus for 2024 will prioritize expanding community-based programs in underserved Bogotá neighborhoods and enhancing telehealth accessibility to serve more Colombians efficiently.</w:t>
      </w:r>
    </w:p>
    <w:p>
      <w:pPr>
        <w:pStyle w:val="BodyText"/>
      </w:pPr>
      <w:r>
        <w:t xml:space="preserve">As a licensed psychology professional operating within Colombia's ethical framework, our primary goal remains clinical excellence and patient well-being—not sales. This Service Utilization Report provides the evidence base for sustainable growth that serves Bogotá's diverse communities while adhering to Colombian healthcare standards. We commend our team for their dedication to mental health advancement in Colombia's capital city.</w:t>
      </w:r>
    </w:p>
    <w:p>
      <w:pPr>
        <w:pStyle w:val="BodyText"/>
      </w:pPr>
      <w:r>
        <w:t xml:space="preserve">Prepared by [Your Practice Name] for Clinical Management Review | Bogotá, Colombia | January 2024</w:t>
      </w:r>
    </w:p>
    <w:p>
      <w:pPr>
        <w:pStyle w:val="BodyText"/>
      </w:pPr>
      <w:r>
        <w:rPr>
          <w:bCs/>
          <w:b/>
        </w:rPr>
        <w:t xml:space="preserve">Disclaimer:</w:t>
      </w:r>
      <w:r>
        <w:t xml:space="preserve"> </w:t>
      </w:r>
      <w:r>
        <w:t xml:space="preserve">This document is an internal clinical service utilization report. It does not represent a sales performance metric but rather measures patient care delivery in accordance with Colombian psychology regulations (CNP Resolución 1464 de 2018). All data reflects actual therapeutic services provided in Bogotá,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Service Utilization Report - Bogotá, Colombia</dc:title>
  <dc:creator/>
  <dc:language>en</dc:language>
  <cp:keywords/>
  <dcterms:created xsi:type="dcterms:W3CDTF">2025-12-13T08:46:24Z</dcterms:created>
  <dcterms:modified xsi:type="dcterms:W3CDTF">2025-12-13T08:46:24Z</dcterms:modified>
</cp:coreProperties>
</file>

<file path=docProps/custom.xml><?xml version="1.0" encoding="utf-8"?>
<Properties xmlns="http://schemas.openxmlformats.org/officeDocument/2006/custom-properties" xmlns:vt="http://schemas.openxmlformats.org/officeDocument/2006/docPropsVTypes"/>
</file>