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Psychology</w:t>
      </w:r>
      <w:r>
        <w:t xml:space="preserve"> </w:t>
      </w:r>
      <w:r>
        <w:t xml:space="preserve">Services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8" w:name="X3a16536b4703d3b9317498549628fcaece94751"/>
    <w:p>
      <w:pPr>
        <w:pStyle w:val="Heading1"/>
      </w:pPr>
      <w:r>
        <w:t xml:space="preserve">Sales Report: Psychological Services Market Performance in Germany Berlin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of psychological services across Berlin, Germany during the third quarter of 2023. The analysis confirms a significant upward trajectory in demand for professional psychological support within Berlin's urban landscape, positioning our practice as a leading provider in this critical sector. As a certified Psychologist operating within Germany Berlin, we've observed unprecedented client acquisition rates and service utilization patterns reflecting acute societal needs. This report validates our strategic focus on evidence-based interventions tailored to Berlin's diverse demographic challenges.</w:t>
      </w:r>
    </w:p>
    <w:bookmarkEnd w:id="20"/>
    <w:bookmarkStart w:id="21" w:name="Xcdb5b7b4f1b5dab435d84ca742487e3e9159532"/>
    <w:p>
      <w:pPr>
        <w:pStyle w:val="Heading2"/>
      </w:pPr>
      <w:r>
        <w:t xml:space="preserve">Market Context: Psychology Demand in Germany Berlin</w:t>
      </w:r>
    </w:p>
    <w:p>
      <w:pPr>
        <w:pStyle w:val="FirstParagraph"/>
      </w:pPr>
      <w:r>
        <w:t xml:space="preserve">Germany's mental health landscape has undergone transformative shifts, with Berlin emerging as the epicenter of innovative psychological service delivery. According to Federal Statistical Office data (Destatis), 38% of Berlin residents now report experiencing moderate-to-severe stress symptoms – a 15% increase from 2020. This crisis-driven demand directly fuels our Sales Report metrics, demonstrating how market conditions align with our Psychologist service offerings. The city's unique demographic profile – including a large immigrant population (34% of Berliners), young professionals (avg. age 35), and significant LGBTQ+ community – necessitates culturally competent psychological approaches that we've strategically developed.</w:t>
      </w:r>
    </w:p>
    <w:bookmarkEnd w:id="21"/>
    <w:bookmarkStart w:id="22" w:name="q3-2023-sales-performance-analysis"/>
    <w:p>
      <w:pPr>
        <w:pStyle w:val="Heading2"/>
      </w:pPr>
      <w:r>
        <w:t xml:space="preserve">Q3 2023 Sales Performance Analysis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Client Volume (Q3)</w:t>
      </w:r>
    </w:p>
    <w:p>
      <w:pPr>
        <w:pStyle w:val="BodyText"/>
      </w:pPr>
      <w:r>
        <w:t xml:space="preserve">% Growth vs Q2 2023</w:t>
      </w:r>
    </w:p>
    <w:p>
      <w:pPr>
        <w:pStyle w:val="BodyText"/>
      </w:pPr>
      <w:r>
        <w:t xml:space="preserve">Avg. Session Revenue (€)</w:t>
      </w:r>
    </w:p>
    <w:p>
      <w:pPr>
        <w:pStyle w:val="BodyText"/>
      </w:pPr>
      <w:r>
        <w:t xml:space="preserve">Cognitive Behavioral Therapy (CBT)</w:t>
      </w:r>
    </w:p>
    <w:p>
      <w:pPr>
        <w:pStyle w:val="BodyText"/>
      </w:pPr>
      <w:r>
        <w:t xml:space="preserve">147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135</w:t>
      </w:r>
    </w:p>
    <w:p>
      <w:pPr>
        <w:pStyle w:val="BodyText"/>
      </w:pPr>
      <w:r>
        <w:t xml:space="preserve">Trauma-Informed Counseling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92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160</w:t>
      </w:r>
    </w:p>
    <w:p>
      <w:pPr>
        <w:pStyle w:val="BodyText"/>
      </w:pPr>
      <w:r>
        <w:t xml:space="preserve">Family &amp; Couples Therapy</w:t>
      </w:r>
    </w:p>
    <w:p>
      <w:pPr>
        <w:pStyle w:val="BodyText"/>
      </w:pPr>
      <w:r>
        <w:t xml:space="preserve">78&lt;35%</w:t>
      </w:r>
    </w:p>
    <w:p>
      <w:pPr>
        <w:pStyle w:val="BodyText"/>
      </w:pPr>
      <w:r>
        <w:t xml:space="preserve">Avg. Session Revenue (€)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This Sales Report reveals our core service lines achieved record engagement, particularly in trauma-informed counseling – a critical need following Berlin's post-pandemic societal challenges and refugee integration pressures. The 41% quarter-over-quarter growth in trauma services directly correlates with Berlin's status as Germany's largest refugee resettlement city (over 120,000 new arrivals since 2022). As a certified Psychologist operating within Germany Berlin, our specialized trauma protocols have become the benchmark for cross-cultural therapeutic interventions.</w:t>
      </w:r>
    </w:p>
    <w:bookmarkEnd w:id="22"/>
    <w:bookmarkStart w:id="23" w:name="client-acquisition-retention-metrics"/>
    <w:p>
      <w:pPr>
        <w:pStyle w:val="Heading2"/>
      </w:pPr>
      <w:r>
        <w:t xml:space="preserve">Client Acquisition &amp; Retention Metrics</w:t>
      </w:r>
    </w:p>
    <w:p>
      <w:pPr>
        <w:pStyle w:val="FirstParagraph"/>
      </w:pPr>
      <w:r>
        <w:t xml:space="preserve">Our Berlin practice achieved a 37% year-over-year increase in new client acquisition, with 68% originating from online channels (primarily Google Health Ads and Berlin-based mental health portals like "Psychologie Berlin"). This digital penetration rate exceeds Germany's national average by 22 percentage points. Notably, our retention rate of 84% demonstrates exceptional client satisfaction – a metric validated through quarterly feedback surveys where 93% of patients rated our Psychologist services as "exceeding expectations" regarding cultural sensitivity.</w:t>
      </w:r>
    </w:p>
    <w:bookmarkEnd w:id="23"/>
    <w:bookmarkStart w:id="24" w:name="competitive-landscape-in-germany-berlin"/>
    <w:p>
      <w:pPr>
        <w:pStyle w:val="Heading2"/>
      </w:pPr>
      <w:r>
        <w:t xml:space="preserve">Competitive Landscape in Germany Berlin</w:t>
      </w:r>
    </w:p>
    <w:p>
      <w:pPr>
        <w:pStyle w:val="FirstParagraph"/>
      </w:pPr>
      <w:r>
        <w:t xml:space="preserve">The Berlin psychological services market remains fragmented, with 67% of competitors operating as sole practitioners. Our Sales Report identifies three key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Alignment</w:t>
      </w:r>
      <w:r>
        <w:t xml:space="preserve">: 100% of our Psychologist staff hold German Federal Psychology Board (Bundesärztekammer) accreditation – a requirement increasingly mandated by Berlin's public health insurers (Krankenkassen)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German-Language Specialization</w:t>
      </w:r>
      <w:r>
        <w:t xml:space="preserve">: We exclusively offer services in German with no language barriers, addressing a critical gap as 29% of Berlin's population has non-German primary language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Integrated Care Models</w:t>
      </w:r>
      <w:r>
        <w:t xml:space="preserve">: Our partnerships with Berlin's Charité Hospital and local social services agencies enable seamless referrals – a feature clients specifically request per our Q3 survey (78% cited this as decisive in service selection)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Despite strong performance, our Sales Report identifies two critical challenges in Germany Berlin: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Reimbursement Complexities</w:t>
      </w:r>
      <w:r>
        <w:t xml:space="preserve">: Only 58% of Berlin residents hold private health insurance covering psychological services (vs. 72% national average). This creates accessibility barriers we're addressing through our new "Berlin Mental Health Access Program" offering sliding-scale fees for low-income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</w:t>
      </w:r>
      <w:r>
        <w:t xml:space="preserve">: Berlin faces a 40% deficit in licensed Psychologists compared to WHO recommendations. Our practice has implemented a targeted recruitment initiative with Humboldt University's Psychology Department, securing 3 new graduates for Q4 2023.</w:t>
      </w:r>
    </w:p>
    <w:p>
      <w:pPr>
        <w:pStyle w:val="FirstParagraph"/>
      </w:pPr>
      <w:r>
        <w:t xml:space="preserve">These challenges present significant opportunities: The Berlin Senate's newly approved "Mental Health Expansion Fund" (€45M allocation) enables us to develop community outreach programs specifically targeting immigrant populations – an underserved segment representing 51% of our new clients in Q3.</w:t>
      </w:r>
    </w:p>
    <w:bookmarkEnd w:id="25"/>
    <w:bookmarkStart w:id="26" w:name="X20ee861cf3caf1b03b020009e5e725c057d812a"/>
    <w:p>
      <w:pPr>
        <w:pStyle w:val="Heading2"/>
      </w:pPr>
      <w:r>
        <w:t xml:space="preserve">Future Sales Strategy: Germany Berlin Focus</w:t>
      </w:r>
    </w:p>
    <w:p>
      <w:pPr>
        <w:pStyle w:val="FirstParagraph"/>
      </w:pPr>
      <w:r>
        <w:t xml:space="preserve">Based on this comprehensive Sales Report, we are implementing three strategic initiatives for 2024: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Berlin-Specific Digital Platform</w:t>
      </w:r>
      <w:r>
        <w:t xml:space="preserve">: Launching a dedicated "Berlin Psychologist Hub" website with city-specific resources (e.g., "Navigating Berlin's Social Services System for New Residents") to capture 30% market share in online client acquisition.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Wellness Partnerships</w:t>
      </w:r>
      <w:r>
        <w:t xml:space="preserve">: Targeting Berlin's growing startup ecosystem (3,200 new tech companies since 2021) with customized stress management programs through our Psychologist team, projected to generate €185K in B2B revenue by Q4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Therapy Units</w:t>
      </w:r>
      <w:r>
        <w:t xml:space="preserve">: Establishing Berlin's first certified LGBTQ+ trauma clinic within our practice, addressing a documented 63% service gap identified in the Berlin Health Authority's 2023 Mental Health Survey.</w:t>
      </w:r>
    </w:p>
    <w:bookmarkEnd w:id="26"/>
    <w:bookmarkStart w:id="27" w:name="X82d47c1cc362f53e8c5dd1b3acc696449147887"/>
    <w:p>
      <w:pPr>
        <w:pStyle w:val="Heading2"/>
      </w:pPr>
      <w:r>
        <w:t xml:space="preserve">Conclusion: The Path Forward in Germany Berlin</w:t>
      </w:r>
    </w:p>
    <w:p>
      <w:pPr>
        <w:pStyle w:val="FirstParagraph"/>
      </w:pPr>
      <w:r>
        <w:t xml:space="preserve">This Sales Report unequivocally demonstrates that psychological services are not merely a business opportunity but a critical public health necessity within Germany Berlin. As a certified Psychologist operating in this dynamic environment, our practice has established itself as an industry leader through data-driven service innovation and community-centric care models. The 28% quarterly growth in CBT services and 41% surge in trauma therapy demand reflect how deeply our solutions align with Berlin's unique societal needs – from refugee integration to urban stress management.</w:t>
      </w:r>
    </w:p>
    <w:p>
      <w:pPr>
        <w:pStyle w:val="BodyText"/>
      </w:pPr>
      <w:r>
        <w:t xml:space="preserve">Looking ahead, we project a minimum 35% year-over-year revenue increase for 2024 through these targeted strategies. Crucially, this growth will be measured not just in financial terms but in our capacity to serve Berlin's most vulnerable populations – reinforcing that as Psychologists operating in Germany Berlin, our success is intrinsically tied to the city's collective well-being. Our continued leadership position requires unwavering commitment to cultural competence, regulatory excellence within the German healthcare framework, and proactive adaptation to Berlin's evolving mental health landscape. The data confirms: When psychological services are intelligently designed for Berlin, they don't just sell – they transform communities.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Anja Müller (Psychologist &amp; Practice Director)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Sales Report Reference Code:</w:t>
      </w:r>
      <w:r>
        <w:t xml:space="preserve"> </w:t>
      </w:r>
      <w:r>
        <w:t xml:space="preserve">BER-PSYCH-2023-Q3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Psychology Services Market Analysis - Berlin, Germany</dc:title>
  <dc:creator/>
  <dc:language>en</dc:language>
  <cp:keywords/>
  <dcterms:created xsi:type="dcterms:W3CDTF">2026-07-21T05:54:06Z</dcterms:created>
  <dcterms:modified xsi:type="dcterms:W3CDTF">2026-07-21T05:54:06Z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