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Practice</w:t>
      </w:r>
      <w:r>
        <w:t xml:space="preserve"> </w:t>
      </w:r>
      <w:r>
        <w:t xml:space="preserve">in</w:t>
      </w:r>
      <w:r>
        <w:t xml:space="preserve"> </w:t>
      </w:r>
      <w:r>
        <w:t xml:space="preserve">Germany</w:t>
      </w:r>
      <w:r>
        <w:t xml:space="preserve"> </w:t>
      </w:r>
      <w:r>
        <w:t xml:space="preserve">Munich</w:t>
      </w:r>
    </w:p>
    <w:bookmarkStart w:id="29" w:name="Xe7848125be031e0dfe857455b2faa91703ed6e0"/>
    <w:p>
      <w:pPr>
        <w:pStyle w:val="Heading1"/>
      </w:pPr>
      <w:r>
        <w:t xml:space="preserve">Comprehensive Sales Report: Psychologist Practice Expansion Strategy in Germany Munich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operational and commercial performance of our independent psychology practice within Germany Munich. The quarter demonstrated significant growth in client acquisition and service utilization, with a 38% increase in new consultations compared to Q2 2023. As a leading psychologist practice serving Munich's diverse population, we've strategically positioned ourselves to address the city's growing mental health demands while navigating Germany's unique healthcare landscape. This report confirms our sales trajectory aligns with Munich's market needs and reinforces our commitment to becoming the premier psychological services provider in Bavaria.</w:t>
      </w:r>
    </w:p>
    <w:bookmarkEnd w:id="20"/>
    <w:bookmarkStart w:id="21" w:name="X87d8ca1df936b73ec1b163b50b0e63abd90f4cc"/>
    <w:p>
      <w:pPr>
        <w:pStyle w:val="Heading2"/>
      </w:pPr>
      <w:r>
        <w:t xml:space="preserve">II. Market Context: Psychologist Demand in Germany Munich</w:t>
      </w:r>
    </w:p>
    <w:p>
      <w:pPr>
        <w:pStyle w:val="FirstParagraph"/>
      </w:pPr>
      <w:r>
        <w:t xml:space="preserve">Munich, as Germany's third-largest city and a hub for innovation, faces escalating mental health needs. Recent BPS (Bundespsychotherapeutenkammer) data reveals 47% of Munich residents experience stress-related symptoms annually – exceeding the national average by 19%. The city's high-stress environment, driven by corporate culture in areas like Pasing and Schwabing, creates a critical demand for licensed psychologists. Our Sales Report underscores that Munich's market gap (estimated at 12,000 unmet therapy needs) represents our most significant growth opportunity. With Germany's statutory health insurance (GKV) covering 90% of psychology services, we've optimized our billing structure to maximize reimbursement – a key factor in our sales strategy for the Munich market.</w:t>
      </w:r>
    </w:p>
    <w:bookmarkEnd w:id="21"/>
    <w:bookmarkStart w:id="24" w:name="iii.-sales-performance-analysis"/>
    <w:p>
      <w:pPr>
        <w:pStyle w:val="Heading2"/>
      </w:pPr>
      <w:r>
        <w:t xml:space="preserve">III. Sales Performance Analysis</w:t>
      </w:r>
    </w:p>
    <w:bookmarkStart w:id="22" w:name="a.-client-acquisition-metrics"/>
    <w:p>
      <w:pPr>
        <w:pStyle w:val="Heading3"/>
      </w:pPr>
      <w:r>
        <w:t xml:space="preserve">A. Client Acquisition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Client Sign-ups (Munich)</w:t>
            </w:r>
          </w:p>
        </w:tc>
        <w:tc>
          <w:tcPr/>
          <w:p>
            <w:pPr>
              <w:pStyle w:val="Compact"/>
              <w:jc w:val="left"/>
            </w:pPr>
            <w:r>
              <w:t xml:space="preserve">147</w:t>
            </w:r>
          </w:p>
        </w:tc>
        <w:tc>
          <w:tcPr/>
          <w:p>
            <w:pPr>
              <w:pStyle w:val="Compact"/>
              <w:jc w:val="left"/>
            </w:pPr>
            <w:r>
              <w:t xml:space="preserve">106</w:t>
            </w:r>
          </w:p>
        </w:tc>
        <w:tc>
          <w:tcPr/>
          <w:p>
            <w:pPr>
              <w:pStyle w:val="Compact"/>
              <w:jc w:val="left"/>
            </w:pPr>
            <w:r>
              <w:t xml:space="preserve">+38.7%</w:t>
            </w:r>
          </w:p>
        </w:tc>
      </w:tr>
      <w:tr>
        <w:tc>
          <w:tcPr/>
          <w:p>
            <w:pPr>
              <w:pStyle w:val="Compact"/>
              <w:jc w:val="left"/>
            </w:pPr>
            <w:r>
              <w:t xml:space="preserve">Insurance Reimbursements Processed</w:t>
            </w:r>
          </w:p>
        </w:tc>
        <w:tc>
          <w:tcPr/>
          <w:p>
            <w:pPr>
              <w:pStyle w:val="Compact"/>
              <w:jc w:val="left"/>
            </w:pPr>
            <w:r>
              <w:t xml:space="preserve">€89,200</w:t>
            </w:r>
          </w:p>
        </w:tc>
        <w:tc>
          <w:tcPr/>
          <w:p>
            <w:pPr>
              <w:pStyle w:val="Compact"/>
              <w:jc w:val="left"/>
            </w:pPr>
            <w:r>
              <w:t xml:space="preserve">€64,500</w:t>
            </w:r>
          </w:p>
        </w:tc>
        <w:tc>
          <w:tcPr/>
          <w:p>
            <w:pPr>
              <w:pStyle w:val="Compact"/>
              <w:jc w:val="left"/>
            </w:pPr>
            <w:r>
              <w:t xml:space="preserve">+38.3%</w:t>
            </w:r>
          </w:p>
        </w:tc>
      </w:tr>
      <w:tr>
        <w:tc>
          <w:tcPr/>
          <w:p>
            <w:pPr>
              <w:pStyle w:val="Compact"/>
              <w:jc w:val="left"/>
            </w:pPr>
            <w:r>
              <w:t xml:space="preserve">Cancellation Rate (Munich)</w:t>
            </w:r>
          </w:p>
        </w:tc>
        <w:tc>
          <w:tcPr/>
          <w:p>
            <w:pPr>
              <w:pStyle w:val="Compact"/>
              <w:jc w:val="left"/>
            </w:pPr>
            <w:r>
              <w:t xml:space="preserve">5.2%</w:t>
            </w:r>
          </w:p>
        </w:tc>
        <w:tc>
          <w:tcPr/>
          <w:p>
            <w:pPr>
              <w:pStyle w:val="Compact"/>
              <w:jc w:val="left"/>
            </w:pPr>
            <w:r>
              <w:t xml:space="preserve">7.8%</w:t>
            </w:r>
          </w:p>
        </w:tc>
        <w:tc>
          <w:tcPr/>
          <w:p>
            <w:pPr>
              <w:pStyle w:val="Compact"/>
              <w:jc w:val="left"/>
            </w:pPr>
            <w:r>
              <w:t xml:space="preserve">-34% YoY</w:t>
            </w:r>
          </w:p>
        </w:tc>
      </w:tr>
    </w:tbl>
    <w:p>
      <w:pPr>
        <w:pStyle w:val="BodyText"/>
      </w:pPr>
      <w:r>
        <w:t xml:space="preserve">The 38% surge in new client sign-ups directly correlates with our targeted marketing in Munich neighborhoods (including Maxvorstadt and Isarauen). Our Sales Report identifies three pivotal growth drivers:</w:t>
      </w:r>
    </w:p>
    <w:p>
      <w:pPr>
        <w:numPr>
          <w:ilvl w:val="0"/>
          <w:numId w:val="1001"/>
        </w:numPr>
        <w:pStyle w:val="Compact"/>
      </w:pPr>
      <w:r>
        <w:t xml:space="preserve">Collaboration with Munich corporate partners (e.g., BMW Group, Siemens Healthineers) for employee wellness programs</w:t>
      </w:r>
    </w:p>
    <w:p>
      <w:pPr>
        <w:numPr>
          <w:ilvl w:val="0"/>
          <w:numId w:val="1001"/>
        </w:numPr>
        <w:pStyle w:val="Compact"/>
      </w:pPr>
      <w:r>
        <w:t xml:space="preserve">German-language digital campaigns reaching 250k+ Munich residents via Facebook/Instagram</w:t>
      </w:r>
    </w:p>
    <w:p>
      <w:pPr>
        <w:numPr>
          <w:ilvl w:val="0"/>
          <w:numId w:val="1001"/>
        </w:numPr>
        <w:pStyle w:val="Compact"/>
      </w:pPr>
      <w:r>
        <w:t xml:space="preserve">Partnership with Munich-based health insurance providers (TK, AOK) for streamlined referrals</w:t>
      </w:r>
    </w:p>
    <w:bookmarkEnd w:id="22"/>
    <w:bookmarkStart w:id="23" w:name="b.-service-portfolio-revenue-breakdown"/>
    <w:p>
      <w:pPr>
        <w:pStyle w:val="Heading3"/>
      </w:pPr>
      <w:r>
        <w:t xml:space="preserve">B. Service Portfolio Revenue Breakdown</w:t>
      </w:r>
    </w:p>
    <w:p>
      <w:pPr>
        <w:pStyle w:val="FirstParagraph"/>
      </w:pPr>
      <w:r>
        <w:t xml:space="preserve">Our psychologist practice in Germany Munich now offers six core services, with the following revenue contribution:</w:t>
      </w:r>
    </w:p>
    <w:p>
      <w:pPr>
        <w:numPr>
          <w:ilvl w:val="0"/>
          <w:numId w:val="1002"/>
        </w:numPr>
        <w:pStyle w:val="Compact"/>
      </w:pPr>
      <w:r>
        <w:t xml:space="preserve">Cognitive Behavioral Therapy (CBT): 42% of total revenue – driven by Munich's high anxiety disorder prevalence</w:t>
      </w:r>
    </w:p>
    <w:p>
      <w:pPr>
        <w:numPr>
          <w:ilvl w:val="0"/>
          <w:numId w:val="1002"/>
        </w:numPr>
        <w:pStyle w:val="Compact"/>
      </w:pPr>
      <w:r>
        <w:t xml:space="preserve">Child &amp; Adolescent Therapy: 28% (+15% QoQ) – addressing Munich's aging population needs</w:t>
      </w:r>
    </w:p>
    <w:p>
      <w:pPr>
        <w:numPr>
          <w:ilvl w:val="0"/>
          <w:numId w:val="1002"/>
        </w:numPr>
        <w:pStyle w:val="Compact"/>
      </w:pPr>
      <w:r>
        <w:t xml:space="preserve">Executive Coaching: 18% (primarily corporate clients in Munich's business district)</w:t>
      </w:r>
    </w:p>
    <w:p>
      <w:pPr>
        <w:numPr>
          <w:ilvl w:val="0"/>
          <w:numId w:val="1002"/>
        </w:numPr>
        <w:pStyle w:val="Compact"/>
      </w:pPr>
      <w:r>
        <w:t xml:space="preserve">Online Counseling (Digital): 12% – meeting Germany Munich's demand for telehealth flexibility</w:t>
      </w:r>
    </w:p>
    <w:bookmarkEnd w:id="23"/>
    <w:bookmarkEnd w:id="24"/>
    <w:bookmarkStart w:id="25" w:name="X5ad847c7898311c23c8490f26693f11f0a1ef68"/>
    <w:p>
      <w:pPr>
        <w:pStyle w:val="Heading2"/>
      </w:pPr>
      <w:r>
        <w:t xml:space="preserve">IV. Strategic Positioning in Germany Munich Market</w:t>
      </w:r>
    </w:p>
    <w:p>
      <w:pPr>
        <w:pStyle w:val="FirstParagraph"/>
      </w:pPr>
      <w:r>
        <w:t xml:space="preserve">This Sales Report emphasizes our competitive advantage within Munich: a fully German-certified psychologist team with expertise in both Western clinical practices and Bavarian cultural context. Unlike national competitors, we've embedded our practice into Munich's healthcare ecosystem through:</w:t>
      </w:r>
    </w:p>
    <w:p>
      <w:pPr>
        <w:numPr>
          <w:ilvl w:val="0"/>
          <w:numId w:val="1003"/>
        </w:numPr>
        <w:pStyle w:val="Compact"/>
      </w:pPr>
      <w:r>
        <w:t xml:space="preserve">Membership in the Munich Psychotherapists Association (Münchner Psychotherapeutenverband)</w:t>
      </w:r>
    </w:p>
    <w:p>
      <w:pPr>
        <w:numPr>
          <w:ilvl w:val="0"/>
          <w:numId w:val="1003"/>
        </w:numPr>
        <w:pStyle w:val="Compact"/>
      </w:pPr>
      <w:r>
        <w:t xml:space="preserve">Participation in city-funded mental health initiatives (e.g., "München Mental Health Week")</w:t>
      </w:r>
    </w:p>
    <w:p>
      <w:pPr>
        <w:numPr>
          <w:ilvl w:val="0"/>
          <w:numId w:val="1003"/>
        </w:numPr>
        <w:pStyle w:val="Compact"/>
      </w:pPr>
      <w:r>
        <w:t xml:space="preserve">Language-optimized services: 85% of client communications conducted in Standard German, with bilingual support for expats</w:t>
      </w:r>
    </w:p>
    <w:p>
      <w:pPr>
        <w:pStyle w:val="FirstParagraph"/>
      </w:pPr>
      <w:r>
        <w:t xml:space="preserve">Our sales approach explicitly targets Germany Munich's unique demographics – particularly the 27% of residents aged 30-45 (prime therapy age) employed in Munich's knowledge economy. This positioning has reduced our customer acquisition cost by 22% compared to national benchmarks.</w:t>
      </w:r>
    </w:p>
    <w:bookmarkEnd w:id="25"/>
    <w:bookmarkStart w:id="26" w:name="X4d59267afa29dacafdba0a384b86816f49bf246"/>
    <w:p>
      <w:pPr>
        <w:pStyle w:val="Heading2"/>
      </w:pPr>
      <w:r>
        <w:t xml:space="preserve">V. Challenges &amp; Opportunities: The Munich Context</w:t>
      </w:r>
    </w:p>
    <w:p>
      <w:pPr>
        <w:pStyle w:val="FirstParagraph"/>
      </w:pPr>
      <w:r>
        <w:t xml:space="preserve">While the market shows strong potential, our Sales Report identifies two critical challenges requiring immediate action:</w:t>
      </w:r>
    </w:p>
    <w:p>
      <w:pPr>
        <w:numPr>
          <w:ilvl w:val="0"/>
          <w:numId w:val="1004"/>
        </w:numPr>
        <w:pStyle w:val="Compact"/>
      </w:pPr>
      <w:r>
        <w:rPr>
          <w:iCs/>
          <w:i/>
        </w:rPr>
        <w:t xml:space="preserve">Regulatory Complexity:</w:t>
      </w:r>
      <w:r>
        <w:t xml:space="preserve"> </w:t>
      </w:r>
      <w:r>
        <w:t xml:space="preserve">Germany's psychotherapy licensing requirements vary by state. As a Munich-based psychologist practice, we've invested €15k in compliance automation to streamline Munich-specific documentation (e.g., Bavarian Medical Council forms).</w:t>
      </w:r>
    </w:p>
    <w:p>
      <w:pPr>
        <w:numPr>
          <w:ilvl w:val="0"/>
          <w:numId w:val="1004"/>
        </w:numPr>
        <w:pStyle w:val="Compact"/>
      </w:pPr>
      <w:r>
        <w:rPr>
          <w:iCs/>
          <w:i/>
        </w:rPr>
        <w:t xml:space="preserve">Competition Saturation:</w:t>
      </w:r>
      <w:r>
        <w:t xml:space="preserve"> </w:t>
      </w:r>
      <w:r>
        <w:t xml:space="preserve">23 new psychology clinics opened in Munich during Q3. Our response includes developing proprietary therapy protocols for common Munich-specific stressors (e.g., "Munich Commuter Syndrome").</w:t>
      </w:r>
    </w:p>
    <w:p>
      <w:pPr>
        <w:pStyle w:val="FirstParagraph"/>
      </w:pPr>
      <w:r>
        <w:t xml:space="preserve">Concurrently, we've identified three high-potential opportunities:</w:t>
      </w:r>
    </w:p>
    <w:p>
      <w:pPr>
        <w:numPr>
          <w:ilvl w:val="0"/>
          <w:numId w:val="1005"/>
        </w:numPr>
        <w:pStyle w:val="Compact"/>
      </w:pPr>
      <w:r>
        <w:t xml:space="preserve">Munich's 2025 Mental Health Action Plan – positioning our practice for municipal contracts</w:t>
      </w:r>
    </w:p>
    <w:p>
      <w:pPr>
        <w:numPr>
          <w:ilvl w:val="0"/>
          <w:numId w:val="1005"/>
        </w:numPr>
        <w:pStyle w:val="Compact"/>
      </w:pPr>
      <w:r>
        <w:t xml:space="preserve">Rising demand for neurodiversity therapy (autism/ADHD) among Munich's youth population</w:t>
      </w:r>
    </w:p>
    <w:p>
      <w:pPr>
        <w:numPr>
          <w:ilvl w:val="0"/>
          <w:numId w:val="1005"/>
        </w:numPr>
        <w:pStyle w:val="Compact"/>
      </w:pPr>
      <w:r>
        <w:t xml:space="preserve">Partnerships with Munich universities (LMU, TUM) for clinical training placements</w:t>
      </w:r>
    </w:p>
    <w:bookmarkEnd w:id="26"/>
    <w:bookmarkStart w:id="27" w:name="X8e840acd616664468505bb76cbf92544f502771"/>
    <w:p>
      <w:pPr>
        <w:pStyle w:val="Heading2"/>
      </w:pPr>
      <w:r>
        <w:t xml:space="preserve">VI. Growth Strategy: Scaling the Psychologist Practice in Germany Munich</w:t>
      </w:r>
    </w:p>
    <w:p>
      <w:pPr>
        <w:pStyle w:val="FirstParagraph"/>
      </w:pPr>
      <w:r>
        <w:t xml:space="preserve">To capitalize on our Q3 momentum, this Sales Report recommends:</w:t>
      </w:r>
    </w:p>
    <w:p>
      <w:pPr>
        <w:numPr>
          <w:ilvl w:val="0"/>
          <w:numId w:val="1006"/>
        </w:numPr>
        <w:pStyle w:val="Compact"/>
      </w:pPr>
      <w:r>
        <w:rPr>
          <w:bCs/>
          <w:b/>
        </w:rPr>
        <w:t xml:space="preserve">Geographic Expansion within Munich:</w:t>
      </w:r>
      <w:r>
        <w:t xml:space="preserve"> </w:t>
      </w:r>
      <w:r>
        <w:t xml:space="preserve">Opening a satellite clinic in Schwabing (Q1 2024) to serve the city's largest expat community – directly addressing Munich's demand gap in that district.</w:t>
      </w:r>
    </w:p>
    <w:p>
      <w:pPr>
        <w:numPr>
          <w:ilvl w:val="0"/>
          <w:numId w:val="1006"/>
        </w:numPr>
        <w:pStyle w:val="Compact"/>
      </w:pPr>
      <w:r>
        <w:rPr>
          <w:bCs/>
          <w:b/>
        </w:rPr>
        <w:t xml:space="preserve">Digital Sales Acceleration:</w:t>
      </w:r>
      <w:r>
        <w:t xml:space="preserve"> </w:t>
      </w:r>
      <w:r>
        <w:t xml:space="preserve">Launching a German-language app for Munich clients with AI-driven session scheduling, reducing no-shows by 30% (based on pilot data).</w:t>
      </w:r>
    </w:p>
    <w:p>
      <w:pPr>
        <w:numPr>
          <w:ilvl w:val="0"/>
          <w:numId w:val="1006"/>
        </w:numPr>
        <w:pStyle w:val="Compact"/>
      </w:pPr>
      <w:r>
        <w:rPr>
          <w:bCs/>
          <w:b/>
        </w:rPr>
        <w:t xml:space="preserve">Insurance Partnership Expansion:</w:t>
      </w:r>
      <w:r>
        <w:t xml:space="preserve"> </w:t>
      </w:r>
      <w:r>
        <w:t xml:space="preserve">Targeting 3 new Munich-based health insurers by Q4 to increase billable clients by 25%.</w:t>
      </w:r>
    </w:p>
    <w:p>
      <w:pPr>
        <w:pStyle w:val="FirstParagraph"/>
      </w:pPr>
      <w:r>
        <w:t xml:space="preserve">This strategy leverages our proven model as a psychologist practice in Germany Munich, projecting €1.2M+ annual revenue growth within two years – positioning us as the market leader for psychological services across Bavaria.</w:t>
      </w:r>
    </w:p>
    <w:bookmarkEnd w:id="27"/>
    <w:bookmarkStart w:id="28" w:name="vii.-conclusion"/>
    <w:p>
      <w:pPr>
        <w:pStyle w:val="Heading2"/>
      </w:pPr>
      <w:r>
        <w:t xml:space="preserve">VII. Conclusion</w:t>
      </w:r>
    </w:p>
    <w:p>
      <w:pPr>
        <w:pStyle w:val="FirstParagraph"/>
      </w:pPr>
      <w:r>
        <w:t xml:space="preserve">Our Q3 Sales Report confirms that the German city of Munich presents an exceptional opportunity for our psychologist practice, with strong client acquisition rates and favorable market dynamics. By maintaining our specialized focus on Munich's cultural and demographic needs while optimizing sales processes for Germany's healthcare system, we've established a scalable model replicable across other major German cities. We project 45% year-over-year revenue growth by Q2 2024, solidifying our position as the premier psychologist practice in Germany Munich. This success is not merely commercial – it represents meaningful community impact for over 380 Munich residents currently receiving critical mental health support through our practice.</w:t>
      </w:r>
    </w:p>
    <w:p>
      <w:pPr>
        <w:pStyle w:val="BodyText"/>
      </w:pPr>
      <w:r>
        <w:rPr>
          <w:bCs/>
          <w:b/>
        </w:rPr>
        <w:t xml:space="preserve">Prepared By:</w:t>
      </w:r>
      <w:r>
        <w:t xml:space="preserve"> </w:t>
      </w:r>
      <w:r>
        <w:t xml:space="preserve">Global Sales Strategy Team</w:t>
      </w:r>
      <w:r>
        <w:br/>
      </w:r>
      <w:r>
        <w:rPr>
          <w:bCs/>
          <w:b/>
        </w:rPr>
        <w:t xml:space="preserve">For Further Details:</w:t>
      </w:r>
      <w:r>
        <w:t xml:space="preserve"> </w:t>
      </w:r>
      <w:r>
        <w:t xml:space="preserve">contact@psychologen-muenchen.de | www.psychologen-muenchen.de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Practice in Germany Munich</dc:title>
  <dc:creator/>
  <dc:language>en</dc:language>
  <cp:keywords/>
  <dcterms:created xsi:type="dcterms:W3CDTF">2026-07-23T16:00:28Z</dcterms:created>
  <dcterms:modified xsi:type="dcterms:W3CDTF">2026-07-23T16:00:28Z</dcterms:modified>
</cp:coreProperties>
</file>

<file path=docProps/custom.xml><?xml version="1.0" encoding="utf-8"?>
<Properties xmlns="http://schemas.openxmlformats.org/officeDocument/2006/custom-properties" xmlns:vt="http://schemas.openxmlformats.org/officeDocument/2006/docPropsVTypes"/>
</file>