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d9c2e238fde34e7a160305b60b516269fe196c"/>
    <w:p>
      <w:pPr>
        <w:pStyle w:val="Heading1"/>
      </w:pPr>
      <w:r>
        <w:t xml:space="preserve">Sales Report: Psychological Services Performance Analysis in Malaysia Kuala Lumpur</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 (July - September)</w:t>
      </w:r>
    </w:p>
    <w:bookmarkStart w:id="20" w:name="purpose-of-this-sales-report"/>
    <w:p>
      <w:pPr>
        <w:pStyle w:val="Heading2"/>
      </w:pPr>
      <w:r>
        <w:t xml:space="preserve">Purpose of This Sales Report</w:t>
      </w:r>
    </w:p>
    <w:p>
      <w:pPr>
        <w:pStyle w:val="FirstParagraph"/>
      </w:pPr>
      <w:r>
        <w:t xml:space="preserve">This comprehensive sales analysis details the performance metrics, market trends, and strategic insights for psychological services delivered by licensed practitioners across Malaysia Kuala Lumpur. As mental health awareness continues to rise in Southeast Asia's most populous urban center, this report evaluates how our psychology practice has capitalized on emerging opportunities while addressing unique challenges within the local market. The findings directly inform resource allocation and growth strategies for the upcoming fiscal year.</w:t>
      </w:r>
    </w:p>
    <w:bookmarkEnd w:id="20"/>
    <w:bookmarkStart w:id="21" w:name="executive-summary"/>
    <w:p>
      <w:pPr>
        <w:pStyle w:val="Heading2"/>
      </w:pPr>
      <w:r>
        <w:t xml:space="preserve">Executive Summary</w:t>
      </w:r>
    </w:p>
    <w:p>
      <w:pPr>
        <w:pStyle w:val="FirstParagraph"/>
      </w:pPr>
      <w:r>
        <w:t xml:space="preserve">The psychological services division in Malaysia Kuala Lumpur achieved remarkable growth during Q3 2023, exceeding sales targets by 18.7% compared to the previous quarter. Total revenue reached MYR 475,600 (USD 106,585), driven primarily by increased client acquisition and expansion of specialized therapeutic packages. This performance reflects a strategic shift toward culturally responsive care models tailored for Malaysia's diverse population in Kuala Lumpur. Notably, the average client retention rate improved to 73%—a 12% increase from Q2—demonstrating stronger therapeutic relationships within our psychologist-led practice.</w:t>
      </w:r>
    </w:p>
    <w:p>
      <w:pPr>
        <w:pStyle w:val="BodyText"/>
      </w:pPr>
      <w:r>
        <w:rPr>
          <w:bCs/>
          <w:b/>
        </w:rPr>
        <w:t xml:space="preserve">Key Achievement:</w:t>
      </w:r>
      <w:r>
        <w:t xml:space="preserve"> </w:t>
      </w:r>
      <w:r>
        <w:t xml:space="preserve">First quarter in Malaysia Kuala Lumpur to achieve 50+ new client acquisitions per month through targeted community partnerships. This represents a 41% year-over-year growth in client acquisition, positioning us as a market leader in accessible mental healthcare within the Klang Valley.</w:t>
      </w:r>
    </w:p>
    <w:bookmarkEnd w:id="21"/>
    <w:bookmarkStart w:id="23" w:name="q3-sales-performance-breakdown"/>
    <w:p>
      <w:pPr>
        <w:pStyle w:val="Heading2"/>
      </w:pPr>
      <w:r>
        <w:t xml:space="preserve">Q3 Sales Performance Breakdown</w:t>
      </w:r>
    </w:p>
    <w:p>
      <w:pPr>
        <w:pStyle w:val="FirstParagraph"/>
      </w:pPr>
      <w:r>
        <w:t xml:space="preserve">The following table details quarterly sales metrics across service categories:</w:t>
      </w:r>
    </w:p>
    <w:p>
      <w:pPr>
        <w:pStyle w:val="BodyText"/>
      </w:pPr>
      <w:r>
        <w:t xml:space="preserve">Service Category</w:t>
      </w:r>
    </w:p>
    <w:p>
      <w:pPr>
        <w:pStyle w:val="BodyText"/>
      </w:pPr>
      <w:r>
        <w:t xml:space="preserve">Q2 2023 Revenue (MYR)</w:t>
      </w:r>
    </w:p>
    <w:p>
      <w:pPr>
        <w:pStyle w:val="BodyText"/>
      </w:pPr>
      <w:r>
        <w:t xml:space="preserve">Q3 2023 Revenue (MYR)</w:t>
      </w:r>
    </w:p>
    <w:p>
      <w:pPr>
        <w:pStyle w:val="BodyText"/>
      </w:pPr>
      <w:r>
        <w:t xml:space="preserve">% Change</w:t>
      </w:r>
    </w:p>
    <w:p>
      <w:pPr>
        <w:pStyle w:val="BodyText"/>
      </w:pPr>
      <w:r>
        <w:t xml:space="preserve">Key Drivers</w:t>
      </w:r>
    </w:p>
    <w:p>
      <w:pPr>
        <w:pStyle w:val="BodyText"/>
      </w:pPr>
      <w:r>
        <w:t xml:space="preserve">Individual Therapy (Adults)</w:t>
      </w:r>
    </w:p>
    <w:p>
      <w:pPr>
        <w:pStyle w:val="BodyText"/>
      </w:pPr>
      <w:r>
        <w:t xml:space="preserve">148,500</w:t>
      </w:r>
    </w:p>
    <w:p>
      <w:pPr>
        <w:pStyle w:val="BodyText"/>
      </w:pPr>
      <w:r>
        <w:t xml:space="preserve">169,200</w:t>
      </w:r>
    </w:p>
    <w:p>
      <w:pPr>
        <w:pStyle w:val="BodyText"/>
      </w:pPr>
      <w:r>
        <w:t xml:space="preserve">+13.9%</w:t>
      </w:r>
    </w:p>
    <w:p>
      <w:pPr>
        <w:pStyle w:val="BodyText"/>
      </w:pPr>
      <w:r>
        <w:t xml:space="preserve">Family &amp; Couples Counseling</w:t>
      </w:r>
    </w:p>
    <w:p>
      <w:pPr>
        <w:pStyle w:val="BodyText"/>
      </w:pPr>
      <w:r>
        <w:t xml:space="preserve">78,400</w:t>
      </w:r>
    </w:p>
    <w:p>
      <w:pPr>
        <w:pStyle w:val="BodyText"/>
      </w:pPr>
      <w:r>
        <w:t xml:space="preserve">92,650</w:t>
      </w:r>
    </w:p>
    <w:p>
      <w:pPr>
        <w:pStyle w:val="BodyText"/>
      </w:pPr>
      <w:r>
        <w:t xml:space="preserve">+18.2%</w:t>
      </w:r>
    </w:p>
    <w:p>
      <w:pPr>
        <w:pStyle w:val="BodyText"/>
      </w:pPr>
      <w:r>
        <w:t xml:space="preserve">Corporate Wellness Programs</w:t>
      </w:r>
    </w:p>
    <w:p>
      <w:pPr>
        <w:pStyle w:val="BodyText"/>
      </w:pPr>
      <w:r>
        <w:t xml:space="preserve">95,300</w:t>
      </w:r>
    </w:p>
    <w:p>
      <w:pPr>
        <w:pStyle w:val="BodyText"/>
      </w:pPr>
      <w:r>
        <w:t xml:space="preserve">Error: Missing cell content for Q3 2023 Revenue (MYR)</w:t>
      </w:r>
    </w:p>
    <w:p>
      <w:pPr>
        <w:pStyle w:val="BodyText"/>
      </w:pPr>
      <w:r>
        <w:t xml:space="preserve">118,450</w:t>
      </w:r>
    </w:p>
    <w:p>
      <w:pPr>
        <w:pStyle w:val="BodyText"/>
      </w:pPr>
      <w:r>
        <w:t xml:space="preserve">+24.3%</w:t>
      </w:r>
    </w:p>
    <w:p>
      <w:pPr>
        <w:pStyle w:val="BodyText"/>
      </w:pPr>
      <w:r>
        <w:t xml:space="preserve">Specialized Child &amp; Adolescent Services</w:t>
      </w:r>
    </w:p>
    <w:p>
      <w:pPr>
        <w:pStyle w:val="BodyText"/>
      </w:pPr>
      <w:r>
        <w:t xml:space="preserve">62,700</w:t>
      </w:r>
    </w:p>
    <w:p>
      <w:pPr>
        <w:pStyle w:val="BodyText"/>
      </w:pPr>
      <w:r>
        <w:t xml:space="preserve">Error: Missing cell content for Q3 2023 Revenue (MYR)</w:t>
      </w:r>
    </w:p>
    <w:p>
      <w:pPr>
        <w:pStyle w:val="BodyText"/>
      </w:pPr>
      <w:r>
        <w:t xml:space="preserve">81,580</w:t>
      </w:r>
    </w:p>
    <w:p>
      <w:pPr>
        <w:pStyle w:val="BodyText"/>
      </w:pPr>
      <w:r>
        <w:t xml:space="preserve">+30.1%</w:t>
      </w:r>
    </w:p>
    <w:p>
      <w:pPr>
        <w:pStyle w:val="BodyText"/>
      </w:pPr>
      <w:r>
        <w:t xml:space="preserve">Total</w:t>
      </w:r>
    </w:p>
    <w:p>
      <w:pPr>
        <w:pStyle w:val="BodyText"/>
      </w:pPr>
      <w:r>
        <w:rPr>
          <w:bCs/>
          <w:b/>
        </w:rPr>
        <w:t xml:space="preserve">475,600</w:t>
      </w:r>
    </w:p>
    <w:p>
      <w:pPr>
        <w:pStyle w:val="BodyText"/>
      </w:pPr>
      <w:r>
        <w:rPr>
          <w:bCs/>
          <w:b/>
        </w:rPr>
        <w:t xml:space="preserve">475,600</w:t>
      </w:r>
    </w:p>
    <w:p>
      <w:pPr>
        <w:pStyle w:val="BodyText"/>
      </w:pPr>
      <w:r>
        <w:rPr>
          <w:bCs/>
          <w:b/>
        </w:rPr>
        <w:t xml:space="preserve">+18.7%</w:t>
      </w:r>
    </w:p>
    <w:bookmarkStart w:id="22" w:name="market-dynamics-in-malaysia-kuala-lumpur"/>
    <w:p>
      <w:pPr>
        <w:pStyle w:val="Heading3"/>
      </w:pPr>
      <w:r>
        <w:t xml:space="preserve">Market Dynamics in Malaysia Kuala Lumpur</w:t>
      </w:r>
    </w:p>
    <w:p>
      <w:pPr>
        <w:pStyle w:val="FirstParagraph"/>
      </w:pPr>
      <w:r>
        <w:t xml:space="preserve">The Malaysian government's recent Mental Health Act amendments (effective January 2023) significantly boosted market demand for professional psychology services in Kuala Lumpur. With approximately 12% of KL residents experiencing mental health challenges (per National Institute of Mental Health, 2023), our psychologist team has successfully leveraged this awareness through targeted community education initiatives. Notably, partnerships with prominent institutions like</w:t>
      </w:r>
      <w:r>
        <w:t xml:space="preserve"> </w:t>
      </w:r>
      <w:r>
        <w:rPr>
          <w:iCs/>
          <w:i/>
        </w:rPr>
        <w:t xml:space="preserve">Universiti Kebangsaan Malaysia (UKM)</w:t>
      </w:r>
      <w:r>
        <w:t xml:space="preserve"> </w:t>
      </w:r>
      <w:r>
        <w:t xml:space="preserve">and</w:t>
      </w:r>
      <w:r>
        <w:t xml:space="preserve"> </w:t>
      </w:r>
      <w:r>
        <w:rPr>
          <w:iCs/>
          <w:i/>
        </w:rPr>
        <w:t xml:space="preserve">Kuala Lumpur Hospital</w:t>
      </w:r>
      <w:r>
        <w:t xml:space="preserve"> </w:t>
      </w:r>
      <w:r>
        <w:t xml:space="preserve">have generated 35% of new leads during the quarter.</w:t>
      </w:r>
    </w:p>
    <w:bookmarkEnd w:id="22"/>
    <w:bookmarkEnd w:id="23"/>
    <w:bookmarkStart w:id="24" w:name="strategic-initiatives-driving-success"/>
    <w:p>
      <w:pPr>
        <w:pStyle w:val="Heading2"/>
      </w:pPr>
      <w:r>
        <w:t xml:space="preserve">Strategic Initiatives Driving Success</w:t>
      </w:r>
    </w:p>
    <w:p>
      <w:pPr>
        <w:pStyle w:val="FirstParagraph"/>
      </w:pPr>
      <w:r>
        <w:t xml:space="preserve">Our sales growth in Malaysia Kuala Lumpur stems from three key strategies implemented by our psychologist-led business development team:</w:t>
      </w:r>
    </w:p>
    <w:p>
      <w:pPr>
        <w:numPr>
          <w:ilvl w:val="0"/>
          <w:numId w:val="1001"/>
        </w:numPr>
        <w:pStyle w:val="Compact"/>
      </w:pPr>
      <w:r>
        <w:rPr>
          <w:bCs/>
          <w:b/>
        </w:rPr>
        <w:t xml:space="preserve">Culturally Adaptive Service Design:</w:t>
      </w:r>
      <w:r>
        <w:t xml:space="preserve"> </w:t>
      </w:r>
      <w:r>
        <w:t xml:space="preserve">We developed therapy modules incorporating Islamic counseling principles and Malay cultural values, increasing referral acceptance rates by 27% among B40 (low-income) and M40 (middle-income) demographics in KL.</w:t>
      </w:r>
    </w:p>
    <w:p>
      <w:pPr>
        <w:numPr>
          <w:ilvl w:val="0"/>
          <w:numId w:val="1001"/>
        </w:numPr>
        <w:pStyle w:val="Compact"/>
      </w:pPr>
      <w:r>
        <w:rPr>
          <w:bCs/>
          <w:b/>
        </w:rPr>
        <w:t xml:space="preserve">Telehealth Expansion:</w:t>
      </w:r>
      <w:r>
        <w:t xml:space="preserve"> </w:t>
      </w:r>
      <w:r>
        <w:t xml:space="preserve">Launching our mobile application for virtual therapy sessions—supported by local ISP partnerships—captured 38% of new clients, eliminating geographical barriers across Kuala Lumpur's expansive suburbs.</w:t>
      </w:r>
    </w:p>
    <w:p>
      <w:pPr>
        <w:numPr>
          <w:ilvl w:val="0"/>
          <w:numId w:val="1001"/>
        </w:numPr>
        <w:pStyle w:val="Compact"/>
      </w:pPr>
      <w:r>
        <w:rPr>
          <w:bCs/>
          <w:b/>
        </w:rPr>
        <w:t xml:space="preserve">Corporate Integration Program:</w:t>
      </w:r>
      <w:r>
        <w:t xml:space="preserve"> </w:t>
      </w:r>
      <w:r>
        <w:t xml:space="preserve">Collaborating with 12 Fortune Malaysia 500 companies (including Petronas and Maybank) for employee mental wellness programs generated MYR 118,450 in recurring revenue—marking a 63% quarterly increase.</w:t>
      </w:r>
    </w:p>
    <w:p>
      <w:pPr>
        <w:pStyle w:val="FirstParagraph"/>
      </w:pPr>
      <w:r>
        <w:rPr>
          <w:bCs/>
          <w:b/>
        </w:rPr>
        <w:t xml:space="preserve">Market Insight:</w:t>
      </w:r>
      <w:r>
        <w:t xml:space="preserve"> </w:t>
      </w:r>
      <w:r>
        <w:t xml:space="preserve">In Malaysia Kuala Lumpur, 68% of clients now prefer hybrid models (in-person + virtual), creating a sustainable sales pipeline that our psychologist team has optimized through flexible scheduling and cross-platform training.</w:t>
      </w:r>
    </w:p>
    <w:bookmarkEnd w:id="24"/>
    <w:bookmarkStart w:id="25" w:name="challenges-in-the-local-context"/>
    <w:p>
      <w:pPr>
        <w:pStyle w:val="Heading2"/>
      </w:pPr>
      <w:r>
        <w:t xml:space="preserve">Challenges in the Local Context</w:t>
      </w:r>
    </w:p>
    <w:p>
      <w:pPr>
        <w:pStyle w:val="FirstParagraph"/>
      </w:pPr>
      <w:r>
        <w:t xml:space="preserve">Operating as a psychologist practice in Malaysia Kuala Lumpur presents unique industry-specific hurdles. The primary challenge remains addressing persistent mental health stigma, particularly among older Malay and Chinese communities where 47% of residents still view psychological counseling as "socially unacceptable" (Kuala Lumpur Mental Health Survey, Q2 2023). To counter this, our sales strategy incorporated community influencers—such as religious leaders and educators—in educational workshops across KL's district health centers, resulting in a 19% reduction in stigma-related client attrition.</w:t>
      </w:r>
    </w:p>
    <w:bookmarkEnd w:id="25"/>
    <w:bookmarkStart w:id="26" w:name="competitive-positioning"/>
    <w:p>
      <w:pPr>
        <w:pStyle w:val="Heading2"/>
      </w:pPr>
      <w:r>
        <w:t xml:space="preserve">Competitive Positioning</w:t>
      </w:r>
    </w:p>
    <w:p>
      <w:pPr>
        <w:pStyle w:val="FirstParagraph"/>
      </w:pPr>
      <w:r>
        <w:t xml:space="preserve">Our competitive analysis reveals that while over 50 psychological clinics operate in Kuala Lumpur, only 14% offer integrated cultural competency training for their practitioners. As a certified psychology practice under the Malaysian Psychology Council (MPC), we maintain distinct advantage through our accredited psychologist workforce. This credibility directly translated to a 22% higher conversion rate from initial consultations to retained clients compared to competitors.</w:t>
      </w:r>
    </w:p>
    <w:bookmarkEnd w:id="26"/>
    <w:bookmarkStart w:id="27" w:name="future-sales-strategy-q4-2023-beyond"/>
    <w:p>
      <w:pPr>
        <w:pStyle w:val="Heading2"/>
      </w:pPr>
      <w:r>
        <w:t xml:space="preserve">Future Sales Strategy: Q4 2023 &amp; Beyond</w:t>
      </w:r>
    </w:p>
    <w:p>
      <w:pPr>
        <w:pStyle w:val="FirstParagraph"/>
      </w:pPr>
      <w:r>
        <w:t xml:space="preserve">Based on Q3 performance, we recommend the following actionable initiatives for sustained growth in Malaysia Kuala Lumpur:</w:t>
      </w:r>
    </w:p>
    <w:p>
      <w:pPr>
        <w:numPr>
          <w:ilvl w:val="0"/>
          <w:numId w:val="1002"/>
        </w:numPr>
        <w:pStyle w:val="Compact"/>
      </w:pPr>
      <w:r>
        <w:rPr>
          <w:bCs/>
          <w:b/>
        </w:rPr>
        <w:t xml:space="preserve">Expand Senior Mental Health Services:</w:t>
      </w:r>
      <w:r>
        <w:t xml:space="preserve"> </w:t>
      </w:r>
      <w:r>
        <w:t xml:space="preserve">Develop specialized programs addressing aging populations (a rapidly growing demographic in KL), targeting nursing homes and retirement communities.</w:t>
      </w:r>
    </w:p>
    <w:p>
      <w:pPr>
        <w:numPr>
          <w:ilvl w:val="0"/>
          <w:numId w:val="1002"/>
        </w:numPr>
        <w:pStyle w:val="Compact"/>
      </w:pPr>
      <w:r>
        <w:rPr>
          <w:bCs/>
          <w:b/>
        </w:rPr>
        <w:t xml:space="preserve">Leverage Government Partnerships:</w:t>
      </w:r>
      <w:r>
        <w:t xml:space="preserve"> </w:t>
      </w:r>
      <w:r>
        <w:t xml:space="preserve">Pursue MOUs with the Ministry of Health for subsidized mental health services under Malaysia's National Mental Health Strategy 2025, securing long-term government contracts.</w:t>
      </w:r>
    </w:p>
    <w:p>
      <w:pPr>
        <w:numPr>
          <w:ilvl w:val="0"/>
          <w:numId w:val="1002"/>
        </w:numPr>
        <w:pStyle w:val="Compact"/>
      </w:pPr>
      <w:r>
        <w:rPr>
          <w:bCs/>
          <w:b/>
        </w:rPr>
        <w:t xml:space="preserve">Build Regional Referral Network:</w:t>
      </w:r>
      <w:r>
        <w:t xml:space="preserve"> </w:t>
      </w:r>
      <w:r>
        <w:t xml:space="preserve">Establish formal partnerships with psychology clinics in Selangor and Putrajaya to create a referral ecosystem across the Klang Valley.</w:t>
      </w:r>
    </w:p>
    <w:bookmarkEnd w:id="27"/>
    <w:bookmarkStart w:id="28" w:name="conclusion"/>
    <w:p>
      <w:pPr>
        <w:pStyle w:val="Heading2"/>
      </w:pPr>
      <w:r>
        <w:t xml:space="preserve">Conclusion</w:t>
      </w:r>
    </w:p>
    <w:p>
      <w:pPr>
        <w:pStyle w:val="FirstParagraph"/>
      </w:pPr>
      <w:r>
        <w:t xml:space="preserve">This Sales Report confirms that psychology services have evolved beyond clinical care into a high-growth business segment within Malaysia Kuala Lumpur's healthcare landscape. The strategic integration of cultural intelligence, technological innovation, and community engagement has positioned our psychologist practice to not only meet but exceed market demand. As Malaysia continues to prioritize mental wellness through policy and public awareness campaigns, we project 30% annual revenue growth by Q2 2024. Our commitment to delivering culturally attuned psychological services—tailored specifically for KL's unique demographic needs—ensures sustainable competitive advantage in this dynamic market.</w:t>
      </w:r>
    </w:p>
    <w:p>
      <w:pPr>
        <w:pStyle w:val="BodyText"/>
      </w:pPr>
      <w:r>
        <w:rPr>
          <w:bCs/>
          <w:b/>
        </w:rPr>
        <w:t xml:space="preserve">Prepared By:</w:t>
      </w:r>
      <w:r>
        <w:t xml:space="preserve"> </w:t>
      </w:r>
      <w:r>
        <w:t xml:space="preserve">Strategic Business Development Unit |</w:t>
      </w:r>
    </w:p>
    <w:p>
      <w:pPr>
        <w:pStyle w:val="BodyText"/>
      </w:pPr>
      <w:r>
        <w:t xml:space="preserve">Psychology Practice Division, Malaysia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Services in Malaysia Kuala Lumpur</dc:title>
  <dc:creator/>
  <cp:keywords/>
  <dcterms:created xsi:type="dcterms:W3CDTF">2026-07-24T08:36:10Z</dcterms:created>
  <dcterms:modified xsi:type="dcterms:W3CDTF">2026-07-24T08:36:10Z</dcterms:modified>
</cp:coreProperties>
</file>

<file path=docProps/custom.xml><?xml version="1.0" encoding="utf-8"?>
<Properties xmlns="http://schemas.openxmlformats.org/officeDocument/2006/custom-properties" xmlns:vt="http://schemas.openxmlformats.org/officeDocument/2006/docPropsVTypes"/>
</file>