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Wellington,</w:t>
      </w:r>
      <w:r>
        <w:t xml:space="preserve"> </w:t>
      </w:r>
      <w:r>
        <w:t xml:space="preserve">New</w:t>
      </w:r>
      <w:r>
        <w:t xml:space="preserve"> </w:t>
      </w:r>
      <w:r>
        <w:t xml:space="preserve">Zealand</w:t>
      </w:r>
    </w:p>
    <w:bookmarkStart w:id="28" w:name="X817f19f0de488d3fe5cd82cc2e6903b3969557b"/>
    <w:p>
      <w:pPr>
        <w:pStyle w:val="Heading1"/>
      </w:pPr>
      <w:r>
        <w:t xml:space="preserve">Sales Report: Psychological Services Performance Analysis for Wellington, New Zealand</w:t>
      </w:r>
    </w:p>
    <w:p>
      <w:pPr>
        <w:pStyle w:val="FirstParagraph"/>
      </w:pPr>
      <w:r>
        <w:rPr>
          <w:bCs/>
          <w:b/>
        </w:rPr>
        <w:t xml:space="preserve">Prepared For:</w:t>
      </w:r>
      <w:r>
        <w:t xml:space="preserve"> </w:t>
      </w:r>
      <w:r>
        <w:t xml:space="preserve">Leadership Team, Auckland Psychology Group</w:t>
      </w:r>
      <w:r>
        <w:br/>
      </w: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of psychological services across our practice in New Zealand Wellington during the first nine months of 2023. As a leading provider of evidence-based psychological care in the capital city, we've achieved significant growth while navigating unique market dynamics specific to Wellington's community. The report confirms that our integrated approach has strengthened our position as a trusted</w:t>
      </w:r>
      <w:r>
        <w:t xml:space="preserve"> </w:t>
      </w:r>
      <w:r>
        <w:rPr>
          <w:bCs/>
          <w:b/>
        </w:rPr>
        <w:t xml:space="preserve">Psychologist</w:t>
      </w:r>
      <w:r>
        <w:t xml:space="preserve"> </w:t>
      </w:r>
      <w:r>
        <w:t xml:space="preserve">network within New Zealand Wellington, with client acquisition rates exceeding targets by 18% and revenue growth of 22% compared to the previous year. Key drivers include targeted outreach in high-demand sectors and strategic partnerships with Wellington's healthcare ecosystem.</w:t>
      </w:r>
    </w:p>
    <w:bookmarkEnd w:id="20"/>
    <w:bookmarkStart w:id="21" w:name="X9edc5eff0a56314e38463779ab4565e03575197"/>
    <w:p>
      <w:pPr>
        <w:pStyle w:val="Heading2"/>
      </w:pPr>
      <w:r>
        <w:t xml:space="preserve">Market Context: New Zealand Wellington's Mental Health Landscape</w:t>
      </w:r>
    </w:p>
    <w:p>
      <w:pPr>
        <w:pStyle w:val="FirstParagraph"/>
      </w:pPr>
      <w:r>
        <w:t xml:space="preserve">Wellington, as New Zealand's political and cultural hub, presents distinct opportunities for psychological service delivery. The city's high cost of living, dense urban population (431,000 residents), and significant youth demographic (25% under 25 years) create substantial demand for accessible mental health support. Recent data from the Wellington Regional Public Health Unit indicates a 37% year-on-year increase in reported anxiety disorders since 2021, with particular spikes among university students and healthcare workers. This context makes our</w:t>
      </w:r>
      <w:r>
        <w:t xml:space="preserve"> </w:t>
      </w:r>
      <w:r>
        <w:rPr>
          <w:bCs/>
          <w:b/>
        </w:rPr>
        <w:t xml:space="preserve">Psychologist</w:t>
      </w:r>
      <w:r>
        <w:t xml:space="preserve"> </w:t>
      </w:r>
      <w:r>
        <w:t xml:space="preserve">practice's sales strategy critically aligned with local needs. Unlike metropolitan centers like Auckland, Wellington demonstrates stronger community cohesion, allowing for more personalized service delivery that directly responds to neighborhood-specific challenges.</w:t>
      </w:r>
    </w:p>
    <w:bookmarkEnd w:id="21"/>
    <w:bookmarkStart w:id="22" w:name="sales-performance-breakdown-q1-q3-2023"/>
    <w:p>
      <w:pPr>
        <w:pStyle w:val="Heading2"/>
      </w:pPr>
      <w:r>
        <w:t xml:space="preserve">Sales Performance Breakdown: Q1-Q3 2023</w:t>
      </w:r>
    </w:p>
    <w:p>
      <w:pPr>
        <w:pStyle w:val="FirstParagraph"/>
      </w:pPr>
      <w:r>
        <w:t xml:space="preserve">Service Category</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Clinical Psychology (Adults)</w:t>
      </w:r>
    </w:p>
    <w:p>
      <w:pPr>
        <w:pStyle w:val="BodyText"/>
      </w:pPr>
      <w:r>
        <w:t xml:space="preserve">$48,500</w:t>
      </w:r>
    </w:p>
    <w:p>
      <w:pPr>
        <w:pStyle w:val="BodyText"/>
      </w:pPr>
      <w:r>
        <w:t xml:space="preserve">$51,800</w:t>
      </w:r>
    </w:p>
    <w:p>
      <w:pPr>
        <w:pStyle w:val="BodyText"/>
      </w:pPr>
      <w:r>
        <w:t xml:space="preserve">$67,200</w:t>
      </w:r>
    </w:p>
    <w:p>
      <w:pPr>
        <w:pStyle w:val="BodyText"/>
      </w:pPr>
      <w:r>
        <w:t xml:space="preserve">Family &amp; Relationship Therapy</w:t>
      </w:r>
    </w:p>
    <w:p>
      <w:pPr>
        <w:pStyle w:val="BodyText"/>
      </w:pPr>
      <w:r>
        <w:t xml:space="preserve">$32,700</w:t>
      </w:r>
    </w:p>
    <w:p>
      <w:pPr>
        <w:pStyle w:val="BodyText"/>
      </w:pPr>
      <w:r>
        <w:t xml:space="preserve">$34,950</w:t>
      </w:r>
    </w:p>
    <w:p>
      <w:pPr>
        <w:pStyle w:val="BodyText"/>
      </w:pPr>
      <w:r>
        <w:t xml:space="preserve">$41,150</w:t>
      </w:r>
    </w:p>
    <w:p>
      <w:pPr>
        <w:pStyle w:val="BodyText"/>
      </w:pPr>
      <w:r>
        <w:t xml:space="preserve">Child &amp; Adolescent Services</w:t>
      </w:r>
    </w:p>
    <w:p>
      <w:pPr>
        <w:pStyle w:val="BodyText"/>
      </w:pPr>
      <w:r>
        <w:t xml:space="preserve">$28,900</w:t>
      </w:r>
    </w:p>
    <w:p>
      <w:pPr>
        <w:pStyle w:val="BodyText"/>
      </w:pPr>
      <w:r>
        <w:t xml:space="preserve">$31,450</w:t>
      </w:r>
    </w:p>
    <w:p>
      <w:pPr>
        <w:pStyle w:val="BodyText"/>
      </w:pPr>
      <w:r>
        <w:t xml:space="preserve">$38,625</w:t>
      </w:r>
    </w:p>
    <w:p>
      <w:pPr>
        <w:pStyle w:val="BodyText"/>
      </w:pPr>
      <w:r>
        <w:t xml:space="preserve">Total Monthly Revenue (Avg.)</w:t>
      </w:r>
      <w:r>
        <w:br/>
      </w:r>
      <w:r>
        <w:t xml:space="preserve">($)</w:t>
      </w:r>
    </w:p>
    <w:p>
      <w:pPr>
        <w:pStyle w:val="BodyText"/>
      </w:pPr>
      <w:r>
        <w:t xml:space="preserve">36,700</w:t>
      </w:r>
    </w:p>
    <w:p>
      <w:pPr>
        <w:pStyle w:val="BodyText"/>
      </w:pPr>
      <w:r>
        <w:t xml:space="preserve">39,400</w:t>
      </w:r>
    </w:p>
    <w:p>
      <w:pPr>
        <w:pStyle w:val="BodyText"/>
      </w:pPr>
      <w:r>
        <w:t xml:space="preserve">49,015</w:t>
      </w:r>
    </w:p>
    <w:p>
      <w:pPr>
        <w:pStyle w:val="BodyText"/>
      </w:pPr>
      <w:r>
        <w:t xml:space="preserve">% Growth vs. Previous Period</w:t>
      </w:r>
    </w:p>
    <w:p>
      <w:pPr>
        <w:pStyle w:val="BodyText"/>
      </w:pPr>
      <w:r>
        <w:t xml:space="preserve">-</w:t>
      </w:r>
    </w:p>
    <w:p>
      <w:pPr>
        <w:pStyle w:val="BodyText"/>
      </w:pPr>
      <w:r>
        <w:t xml:space="preserve">+7.3%</w:t>
      </w:r>
    </w:p>
    <w:p>
      <w:pPr>
        <w:pStyle w:val="BodyText"/>
      </w:pPr>
      <w:r>
        <w:t xml:space="preserve">+24.4%</w:t>
      </w:r>
    </w:p>
    <w:p>
      <w:pPr>
        <w:pStyle w:val="BodyText"/>
      </w:pPr>
      <w:r>
        <w:t xml:space="preserve">The Q3 surge in revenue (24.4% growth) directly correlates with our targeted outreach to Wellington's tertiary institutions and community centers during the academic year start. Notably, 68% of new clients came through referrals from local general practitioners – a figure significantly higher than the national average of 52%. This demonstrates how our</w:t>
      </w:r>
      <w:r>
        <w:t xml:space="preserve"> </w:t>
      </w:r>
      <w:r>
        <w:rPr>
          <w:bCs/>
          <w:b/>
        </w:rPr>
        <w:t xml:space="preserve">Psychologist</w:t>
      </w:r>
      <w:r>
        <w:t xml:space="preserve"> </w:t>
      </w:r>
      <w:r>
        <w:t xml:space="preserve">network has embedded itself within New Zealand Wellington's primary healthcare infrastructure. Our sales strategy focused on building relationships with key clinics like Wellington Regional Hospital and Victoria University's counseling center, resulting in a 32% increase in referral partnerships compared to 2022.</w:t>
      </w:r>
    </w:p>
    <w:bookmarkEnd w:id="22"/>
    <w:bookmarkStart w:id="23" w:name="key-sales-drivers-in-wellington"/>
    <w:p>
      <w:pPr>
        <w:pStyle w:val="Heading2"/>
      </w:pPr>
      <w:r>
        <w:t xml:space="preserve">Key Sales Drivers in Wellington</w:t>
      </w:r>
    </w:p>
    <w:p>
      <w:pPr>
        <w:pStyle w:val="FirstParagraph"/>
      </w:pPr>
      <w:r>
        <w:t xml:space="preserve">Three strategic initiatives have defined our success in New Zealand Wellington:</w:t>
      </w:r>
    </w:p>
    <w:p>
      <w:pPr>
        <w:numPr>
          <w:ilvl w:val="0"/>
          <w:numId w:val="1001"/>
        </w:numPr>
        <w:pStyle w:val="Compact"/>
      </w:pPr>
      <w:r>
        <w:rPr>
          <w:bCs/>
          <w:b/>
        </w:rPr>
        <w:t xml:space="preserve">Wellington-Specific Service Packaging:</w:t>
      </w:r>
      <w:r>
        <w:t xml:space="preserve"> </w:t>
      </w:r>
      <w:r>
        <w:t xml:space="preserve">We developed "Wellington Wellness Packages" tailored to local stressors, including urban resilience programs for city workers and Pacific Island youth mental health services. These packages accounted for 41% of Q3 sales – a 29% increase from previous periods.</w:t>
      </w:r>
    </w:p>
    <w:p>
      <w:pPr>
        <w:numPr>
          <w:ilvl w:val="0"/>
          <w:numId w:val="1001"/>
        </w:numPr>
        <w:pStyle w:val="Compact"/>
      </w:pPr>
      <w:r>
        <w:rPr>
          <w:bCs/>
          <w:b/>
        </w:rPr>
        <w:t xml:space="preserve">Community Integration:</w:t>
      </w:r>
      <w:r>
        <w:t xml:space="preserve"> </w:t>
      </w:r>
      <w:r>
        <w:t xml:space="preserve">Partnering with Wellington's community hubs like the City Gallery (for art therapy sessions) and Māori health providers, we've built culturally responsive services that resonated deeply. This approach generated 27 new high-value clients in the Māori and Pacific communities during Q3.</w:t>
      </w:r>
    </w:p>
    <w:p>
      <w:pPr>
        <w:numPr>
          <w:ilvl w:val="0"/>
          <w:numId w:val="1001"/>
        </w:numPr>
        <w:pStyle w:val="Compact"/>
      </w:pPr>
      <w:r>
        <w:rPr>
          <w:bCs/>
          <w:b/>
        </w:rPr>
        <w:t xml:space="preserve">Telehealth Expansion:</w:t>
      </w:r>
      <w:r>
        <w:t xml:space="preserve"> </w:t>
      </w:r>
      <w:r>
        <w:t xml:space="preserve">Recognizing Wellington's traffic challenges (average commute: 45 mins), we expanded telehealth options to 80% of services. This reduced no-show rates by 34% and allowed us to serve clients across the wider Wellington region, including Porirua and Hutt City.</w:t>
      </w:r>
    </w:p>
    <w:bookmarkEnd w:id="23"/>
    <w:bookmarkStart w:id="24" w:name="challenges-market-realities"/>
    <w:p>
      <w:pPr>
        <w:pStyle w:val="Heading2"/>
      </w:pPr>
      <w:r>
        <w:t xml:space="preserve">Challenges &amp; Market Realities</w:t>
      </w:r>
    </w:p>
    <w:p>
      <w:pPr>
        <w:pStyle w:val="FirstParagraph"/>
      </w:pPr>
      <w:r>
        <w:t xml:space="preserve">Despite strong performance, Wellington's unique environment presents specific challenges. The high cost of commercial real estate in central Wellington has increased operational costs by 14% year-on-year. More critically, our sales data reveals a 39% increase in demand for crisis intervention services – far outpacing supply capacity. This indicates a systemic gap in New Zealand's mental health infrastructure that we're actively addressing through our</w:t>
      </w:r>
      <w:r>
        <w:t xml:space="preserve"> </w:t>
      </w:r>
      <w:r>
        <w:rPr>
          <w:bCs/>
          <w:b/>
        </w:rPr>
        <w:t xml:space="preserve">Psychologist</w:t>
      </w:r>
      <w:r>
        <w:t xml:space="preserve"> </w:t>
      </w:r>
      <w:r>
        <w:t xml:space="preserve">training programs. Additionally, while government subsidies (like the Whānau Ora initiative) have improved accessibility, wait times remain at 12 weeks for non-urgent cases – significantly longer than Wellington's target of 6 weeks.</w:t>
      </w:r>
    </w:p>
    <w:bookmarkEnd w:id="24"/>
    <w:bookmarkStart w:id="25" w:name="X7f0a24bc307c7a164d4e93b8b5c99d388df4a80"/>
    <w:p>
      <w:pPr>
        <w:pStyle w:val="Heading2"/>
      </w:pPr>
      <w:r>
        <w:t xml:space="preserve">Opportunities for Growth in New Zealand Wellington</w:t>
      </w:r>
    </w:p>
    <w:p>
      <w:pPr>
        <w:pStyle w:val="FirstParagraph"/>
      </w:pPr>
      <w:r>
        <w:t xml:space="preserve">Our Sales Report identifies three high-potential growth areas:</w:t>
      </w:r>
    </w:p>
    <w:p>
      <w:pPr>
        <w:numPr>
          <w:ilvl w:val="0"/>
          <w:numId w:val="1002"/>
        </w:numPr>
        <w:pStyle w:val="Compact"/>
      </w:pPr>
      <w:r>
        <w:rPr>
          <w:bCs/>
          <w:b/>
        </w:rPr>
        <w:t xml:space="preserve">School-Based Partnerships:</w:t>
      </w:r>
      <w:r>
        <w:t xml:space="preserve"> </w:t>
      </w:r>
      <w:r>
        <w:t xml:space="preserve">With Wellington's high school enrollment at 58,000 students, we've secured pilot agreements with 7 schools to provide preventative mental health services. Early results show a 23% increase in student engagement with support services.</w:t>
      </w:r>
    </w:p>
    <w:p>
      <w:pPr>
        <w:numPr>
          <w:ilvl w:val="0"/>
          <w:numId w:val="1002"/>
        </w:numPr>
        <w:pStyle w:val="Compact"/>
      </w:pPr>
      <w:r>
        <w:rPr>
          <w:bCs/>
          <w:b/>
        </w:rPr>
        <w:t xml:space="preserve">Workplace Mental Health:</w:t>
      </w:r>
      <w:r>
        <w:t xml:space="preserve"> </w:t>
      </w:r>
      <w:r>
        <w:t xml:space="preserve">As Wellington hosts major government agencies and creative industries (including Netflix's New Zealand operations), we've developed corporate wellness programs. A new contract with the Department of Corrections has secured $150,000 in annual revenue for trauma-focused therapy services.</w:t>
      </w:r>
    </w:p>
    <w:p>
      <w:pPr>
        <w:numPr>
          <w:ilvl w:val="0"/>
          <w:numId w:val="1002"/>
        </w:numPr>
        <w:pStyle w:val="Compact"/>
      </w:pPr>
      <w:r>
        <w:rPr>
          <w:bCs/>
          <w:b/>
        </w:rPr>
        <w:t xml:space="preserve">Specialized Digital Offerings:</w:t>
      </w:r>
      <w:r>
        <w:t xml:space="preserve"> </w:t>
      </w:r>
      <w:r>
        <w:t xml:space="preserve">Launching a Wellington-specific mindfulness app ("Wellington Mindful") in Q4 2023 is projected to generate $85,000 in recurring revenue by mid-2024, targeting the city's high smartphone penetration rate (91%).</w:t>
      </w:r>
    </w:p>
    <w:bookmarkEnd w:id="25"/>
    <w:bookmarkStart w:id="27" w:name="Xad81f78b40442a86bc47b3f7aafd72eca3d9618"/>
    <w:p>
      <w:pPr>
        <w:pStyle w:val="Heading2"/>
      </w:pPr>
      <w:r>
        <w:t xml:space="preserve">Conclusion: Strategic Direction for Wellington’s Mental Health Ecosystem</w:t>
      </w:r>
    </w:p>
    <w:p>
      <w:pPr>
        <w:pStyle w:val="FirstParagraph"/>
      </w:pPr>
      <w:r>
        <w:t xml:space="preserve">This Sales Report underscores that our practice is not merely a provider of psychological services in New Zealand Wellington – we are an active catalyst within the city's mental health ecosystem. The 22% revenue growth, combined with our deep community integration, positions us to significantly influence wellness outcomes across Wellington's diverse neighborhoods. Moving forward, we will prioritize closing the crisis intervention gap through additional</w:t>
      </w:r>
      <w:r>
        <w:t xml:space="preserve"> </w:t>
      </w:r>
      <w:r>
        <w:rPr>
          <w:bCs/>
          <w:b/>
        </w:rPr>
        <w:t xml:space="preserve">Psychologist</w:t>
      </w:r>
      <w:r>
        <w:t xml:space="preserve"> </w:t>
      </w:r>
      <w:r>
        <w:t xml:space="preserve">recruitment in partnership with Massey University's clinical training program. Our sales strategy will continue focusing on three pillars: cultural responsiveness (especially for Māori and Pacific communities), accessibility solutions for Wellington's geographical challenges, and data-driven service innovation. As mental health becomes increasingly central to New Zealand's national wellbeing agenda, our practice in Wellington remains uniquely positioned to deliver measurable impact through strategic sales execution aligned with local needs. We project 28% revenue growth for full-year 2023, with continued market leadership in the capital city.</w:t>
      </w:r>
    </w:p>
    <w:bookmarkStart w:id="26" w:name="appendix-key-performance-indicators"/>
    <w:p>
      <w:pPr>
        <w:pStyle w:val="Heading3"/>
      </w:pPr>
      <w:r>
        <w:t xml:space="preserve">Appendix: Key Performance Indicators</w:t>
      </w:r>
    </w:p>
    <w:p>
      <w:pPr>
        <w:numPr>
          <w:ilvl w:val="0"/>
          <w:numId w:val="1003"/>
        </w:numPr>
        <w:pStyle w:val="Compact"/>
      </w:pPr>
      <w:r>
        <w:t xml:space="preserve">Client Acquisition Cost (CAC): $145 (19% below Wellington average)</w:t>
      </w:r>
    </w:p>
    <w:p>
      <w:pPr>
        <w:numPr>
          <w:ilvl w:val="0"/>
          <w:numId w:val="1003"/>
        </w:numPr>
        <w:pStyle w:val="Compact"/>
      </w:pPr>
      <w:r>
        <w:t xml:space="preserve">Client Retention Rate: 78% (vs. national avg. 65%)</w:t>
      </w:r>
    </w:p>
    <w:p>
      <w:pPr>
        <w:numPr>
          <w:ilvl w:val="0"/>
          <w:numId w:val="1003"/>
        </w:numPr>
        <w:pStyle w:val="Compact"/>
      </w:pPr>
      <w:r>
        <w:t xml:space="preserve">Referral Source Breakdown: GP (32%), Self-Referral (42%), Community Orgs (26%)</w:t>
      </w:r>
    </w:p>
    <w:p>
      <w:pPr>
        <w:numPr>
          <w:ilvl w:val="0"/>
          <w:numId w:val="1003"/>
        </w:numPr>
        <w:pStyle w:val="Compact"/>
      </w:pPr>
      <w:r>
        <w:t xml:space="preserve">Wellington Market Share Growth: +11% year-on-year</w:t>
      </w:r>
    </w:p>
    <w:p>
      <w:pPr>
        <w:pStyle w:val="FirstParagraph"/>
      </w:pPr>
      <w:r>
        <w:rPr>
          <w:iCs/>
          <w:i/>
        </w:rPr>
        <w:t xml:space="preserve">Prepared by: Auckland Psychology Group Wellington Sales Analytics Team</w:t>
      </w:r>
      <w:r>
        <w:br/>
      </w:r>
      <w:r>
        <w:rPr>
          <w:iCs/>
          <w:i/>
        </w:rPr>
        <w:t xml:space="preserve">Confidential – For Internal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 Wellington, New Zealand</dc:title>
  <dc:creator/>
  <dc:language>en</dc:language>
  <cp:keywords/>
  <dcterms:created xsi:type="dcterms:W3CDTF">2026-07-24T15:43:36Z</dcterms:created>
  <dcterms:modified xsi:type="dcterms:W3CDTF">2026-07-24T15:43:36Z</dcterms:modified>
</cp:coreProperties>
</file>

<file path=docProps/custom.xml><?xml version="1.0" encoding="utf-8"?>
<Properties xmlns="http://schemas.openxmlformats.org/officeDocument/2006/custom-properties" xmlns:vt="http://schemas.openxmlformats.org/officeDocument/2006/docPropsVTypes"/>
</file>