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29" w:name="Xb8cb150f6464a34f9b521231c484f4c62da6dc1"/>
    <w:p>
      <w:pPr>
        <w:pStyle w:val="Heading1"/>
      </w:pPr>
      <w:r>
        <w:t xml:space="preserve">Professional Psychological Services Sales Report: Abu Dhabi Market Performance (Q3-Q4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psychological services practice within the United Arab Emirates' Abu Dhabi jurisdiction. As a licensed mental health provider operating under the Abu Dhabi Department of Health (DOH) regulatory framework, we've achieved remarkable growth in client acquisition and service retention during the third and fourth quarters of 2023. The report demonstrates how culturally attuned psychological services have become increasingly vital to the UAE's evolving healthcare landscape, with a 37% year-over-year increase in patient consultations across Abu Dhabi. This growth positions our practice as a leading provider of evidence-based psychological support within the Emirate's rapidly expanding wellness sector.</w:t>
      </w:r>
    </w:p>
    <w:bookmarkEnd w:id="20"/>
    <w:bookmarkStart w:id="21" w:name="Xb5a9fce348909e58da8974f15061a69e8da356f"/>
    <w:p>
      <w:pPr>
        <w:pStyle w:val="Heading2"/>
      </w:pPr>
      <w:r>
        <w:t xml:space="preserve">Market Context: Psychological Services in Abu Dhabi</w:t>
      </w:r>
    </w:p>
    <w:p>
      <w:pPr>
        <w:pStyle w:val="FirstParagraph"/>
      </w:pPr>
      <w:r>
        <w:t xml:space="preserve">The United Arab Emirates has recognized mental health as a critical public health priority, with Abu Dhabi spearheading initiatives through the National Mental Health Strategy 2030. As of 2023, over 15% of Abu Dhabi's expatriate population and significant local demand have created a robust market for licensed psychologists. Our practice has strategically aligned with UAE cultural values by incorporating Islamic psychology principles into treatment frameworks, which has been instrumental in overcoming traditional stigma surrounding mental healthcare in the region.</w:t>
      </w:r>
    </w:p>
    <w:p>
      <w:pPr>
        <w:pStyle w:val="BodyText"/>
      </w:pPr>
      <w:r>
        <w:rPr>
          <w:bCs/>
          <w:b/>
        </w:rPr>
        <w:t xml:space="preserve">Key Market Insight:</w:t>
      </w:r>
      <w:r>
        <w:t xml:space="preserve"> </w:t>
      </w:r>
      <w:r>
        <w:t xml:space="preserve">The Abu Dhabi Health Services (SEHA) reported a 62% increase in mental health service requests from 2021-2023, directly correlating with our practice's growth trajectory. This demand is particularly pronounced among corporate clients (34% of new contracts) and Emirati families seeking culturally sensitive care.</w:t>
      </w:r>
    </w:p>
    <w:bookmarkEnd w:id="21"/>
    <w:bookmarkStart w:id="23" w:name="q3-q4-2023-sales-performance-metrics"/>
    <w:p>
      <w:pPr>
        <w:pStyle w:val="Heading2"/>
      </w:pPr>
      <w:r>
        <w:t xml:space="preserve">Q3-Q4 2023 Sales Performance Metrics</w:t>
      </w:r>
    </w:p>
    <w:bookmarkStart w:id="22" w:name="revenue-client-acquisition"/>
    <w:p>
      <w:pPr>
        <w:pStyle w:val="Heading3"/>
      </w:pPr>
      <w:r>
        <w:t xml:space="preserve">Revenue &amp; Client Acquisition</w:t>
      </w:r>
    </w:p>
    <w:p>
      <w:pPr>
        <w:pStyle w:val="FirstParagraph"/>
      </w:pPr>
      <w:r>
        <w:t xml:space="preserve">Performance Metric</w:t>
      </w:r>
    </w:p>
    <w:bookmarkEnd w:id="22"/>
    <w:bookmarkEnd w:id="23"/>
    <w:p>
      <w:pPr>
        <w:pStyle w:val="BodyText"/>
      </w:pPr>
      <w:r>
        <w:t xml:space="preserve">Q3 2023</w:t>
      </w:r>
    </w:p>
    <w:p>
      <w:pPr>
        <w:pStyle w:val="BodyText"/>
      </w:pPr>
      <w:r>
        <w:t xml:space="preserve">Q4 2023</w:t>
      </w:r>
    </w:p>
    <w:p>
      <w:pPr>
        <w:pStyle w:val="BodyText"/>
      </w:pPr>
      <w:r>
        <w:t xml:space="preserve">YoY Change</w:t>
      </w:r>
    </w:p>
    <w:p>
      <w:pPr>
        <w:pStyle w:val="BodyText"/>
      </w:pPr>
      <w:r>
        <w:t xml:space="preserve">Total Consultations (Abu Dhabi)</w:t>
      </w:r>
    </w:p>
    <w:p>
      <w:pPr>
        <w:pStyle w:val="BodyText"/>
      </w:pPr>
      <w:r>
        <w:t xml:space="preserve">187</w:t>
      </w:r>
    </w:p>
    <w:p>
      <w:pPr>
        <w:pStyle w:val="BodyText"/>
      </w:pPr>
      <w:r>
        <w:t xml:space="preserve">246</w:t>
      </w:r>
    </w:p>
    <w:p>
      <w:pPr>
        <w:pStyle w:val="BodyText"/>
      </w:pPr>
      <w:r>
        <w:t xml:space="preserve">+37%</w:t>
      </w:r>
    </w:p>
    <w:p>
      <w:pPr>
        <w:pStyle w:val="BodyText"/>
      </w:pPr>
      <w:r>
        <w:t xml:space="preserve">Corporate Contracts Secured</w:t>
      </w:r>
    </w:p>
    <w:p>
      <w:pPr>
        <w:pStyle w:val="BodyText"/>
      </w:pPr>
      <w:r>
        <w:t xml:space="preserve">4 new clients</w:t>
      </w:r>
    </w:p>
    <w:p>
      <w:pPr>
        <w:pStyle w:val="BodyText"/>
      </w:pPr>
      <w:r>
        <w:br/>
      </w:r>
      <w:r>
        <w:br/>
      </w:r>
      <w:r>
        <w:br/>
      </w:r>
      <w:r>
        <w:br/>
      </w:r>
      <w:r>
        <w:t xml:space="preserve">[Continued from previous table]</w:t>
      </w:r>
    </w:p>
    <w:p>
      <w:pPr>
        <w:pStyle w:val="BodyText"/>
      </w:pPr>
      <w:r>
        <w:t xml:space="preserve">Retention Rate (Abu Dhabi)</w:t>
      </w:r>
    </w:p>
    <w:p>
      <w:pPr>
        <w:pStyle w:val="BodyText"/>
      </w:pPr>
      <w:r>
        <w:t xml:space="preserve">78%</w:t>
      </w:r>
    </w:p>
    <w:p>
      <w:pPr>
        <w:pStyle w:val="BodyText"/>
      </w:pPr>
      <w:r>
        <w:t xml:space="preserve">83%</w:t>
      </w:r>
    </w:p>
    <w:p>
      <w:pPr>
        <w:pStyle w:val="BodyText"/>
      </w:pPr>
      <w:r>
        <w:t xml:space="preserve">+5 percentage points</w:t>
      </w:r>
    </w:p>
    <w:p>
      <w:pPr>
        <w:pStyle w:val="BodyText"/>
      </w:pPr>
      <w:r>
        <w:t xml:space="preserve">Total Revenue (AED)</w:t>
      </w:r>
    </w:p>
    <w:p>
      <w:pPr>
        <w:pStyle w:val="BodyText"/>
      </w:pPr>
      <w:r>
        <w:t xml:space="preserve">142,000</w:t>
      </w:r>
    </w:p>
    <w:p>
      <w:pPr>
        <w:pStyle w:val="BodyText"/>
      </w:pPr>
      <w:r>
        <w:t xml:space="preserve">189,500</w:t>
      </w:r>
    </w:p>
    <w:p>
      <w:pPr>
        <w:pStyle w:val="BodyText"/>
      </w:pPr>
      <w:r>
        <w:t xml:space="preserve">+33.4%</w:t>
      </w:r>
    </w:p>
    <w:bookmarkStart w:id="24" w:name="X99a2dd1664b4ee8fd96b8846b51315292224279"/>
    <w:p>
      <w:pPr>
        <w:pStyle w:val="Heading3"/>
      </w:pPr>
      <w:r>
        <w:t xml:space="preserve">Critical Sales Achievement: Cultural Integration Strategy</w:t>
      </w:r>
    </w:p>
    <w:p>
      <w:pPr>
        <w:pStyle w:val="FirstParagraph"/>
      </w:pPr>
      <w:r>
        <w:t xml:space="preserve">Our practice achieved a 22% higher client satisfaction rating compared to regional competitors by implementing the 'UAE Mental Wellness Framework' – a culturally adapted model co-developed with Abu Dhabi-based Islamic scholars. This framework ensures psychological sessions respect local customs (e.g., gender-matched therapists for certain demographics, integration of family therapy within Emirati cultural context) and aligns with Dubai Health Authority (DHA) and Abu Dhabi DOH guidelines. This strategic differentiation has directly contributed to our 45% referral rate from corporate HR departments across Abu Dhabi's business districts (Madinat Zayed, Yas Island, Al Reem Island).</w:t>
      </w:r>
    </w:p>
    <w:bookmarkEnd w:id="24"/>
    <w:bookmarkStart w:id="25" w:name="X0c55615a90ce0db7dac4039be617fb7831980a3"/>
    <w:p>
      <w:pPr>
        <w:pStyle w:val="Heading2"/>
      </w:pPr>
      <w:r>
        <w:t xml:space="preserve">Client Demographics &amp; Service Utilization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Q3 Market Share</w:t>
            </w:r>
          </w:p>
        </w:tc>
        <w:tc>
          <w:tcPr/>
          <w:p>
            <w:pPr>
              <w:pStyle w:val="Compact"/>
              <w:jc w:val="left"/>
            </w:pPr>
            <w:r>
              <w:t xml:space="preserve">Q4 Growth</w:t>
            </w:r>
          </w:p>
        </w:tc>
        <w:tc>
          <w:tcPr/>
          <w:p>
            <w:pPr>
              <w:pStyle w:val="Compact"/>
              <w:jc w:val="left"/>
            </w:pPr>
            <w:r>
              <w:t xml:space="preserve">Cultural Adaptation Strategy</w:t>
            </w:r>
          </w:p>
        </w:tc>
      </w:tr>
      <w:tr>
        <w:tc>
          <w:tcPr/>
          <w:p>
            <w:pPr>
              <w:pStyle w:val="Compact"/>
              <w:jc w:val="left"/>
            </w:pPr>
            <w:r>
              <w:t xml:space="preserve">Emirati Families (Adults &amp; Adolescents)</w:t>
            </w:r>
          </w:p>
        </w:tc>
        <w:tc>
          <w:tcPr/>
          <w:p>
            <w:pPr>
              <w:pStyle w:val="Compact"/>
              <w:jc w:val="left"/>
            </w:pPr>
            <w:r>
              <w:t xml:space="preserve">38%</w:t>
            </w:r>
          </w:p>
        </w:tc>
        <w:tc>
          <w:tcPr/>
          <w:p>
            <w:pPr>
              <w:pStyle w:val="Compact"/>
              <w:jc w:val="left"/>
            </w:pPr>
            <w:r>
              <w:t xml:space="preserve">+29% YoY</w:t>
            </w:r>
          </w:p>
        </w:tc>
        <w:tc>
          <w:tcPr/>
          <w:p>
            <w:pPr>
              <w:pStyle w:val="Compact"/>
              <w:jc w:val="left"/>
            </w:pPr>
            <w:r>
              <w:t xml:space="preserve">Therapy sessions incorporating family dynamics per UAE social norms; Arabic language support available</w:t>
            </w:r>
          </w:p>
        </w:tc>
      </w:tr>
      <w:tr>
        <w:tc>
          <w:tcPr/>
          <w:p>
            <w:pPr>
              <w:pStyle w:val="Compact"/>
              <w:jc w:val="left"/>
            </w:pPr>
            <w:r>
              <w:t xml:space="preserve">Expatriate Professionals (Corporate)</w:t>
            </w:r>
          </w:p>
        </w:tc>
        <w:tc>
          <w:tcPr/>
          <w:p>
            <w:pPr>
              <w:pStyle w:val="Compact"/>
              <w:jc w:val="left"/>
            </w:pPr>
            <w:r>
              <w:t xml:space="preserve">41%</w:t>
            </w:r>
          </w:p>
        </w:tc>
        <w:tc>
          <w:tcPr/>
          <w:p>
            <w:pPr>
              <w:pStyle w:val="Compact"/>
              <w:jc w:val="left"/>
            </w:pPr>
            <w:r>
              <w:t xml:space="preserve">+34% YoY</w:t>
            </w:r>
          </w:p>
        </w:tc>
        <w:tc>
          <w:tcPr/>
          <w:p>
            <w:pPr>
              <w:pStyle w:val="Compact"/>
              <w:jc w:val="left"/>
            </w:pPr>
            <w:r>
              <w:t xml:space="preserve">Customized stress management programs aligned with UAE work culture; 20% discount for multinational companies</w:t>
            </w:r>
          </w:p>
        </w:tc>
      </w:tr>
      <w:tr>
        <w:tc>
          <w:tcPr/>
          <w:p>
            <w:pPr>
              <w:pStyle w:val="Compact"/>
              <w:jc w:val="left"/>
            </w:pPr>
            <w:r>
              <w:t xml:space="preserve">University Students (Abu Dhabi campuses)</w:t>
            </w:r>
          </w:p>
        </w:tc>
        <w:tc>
          <w:tcPr/>
          <w:p>
            <w:pPr>
              <w:pStyle w:val="Compact"/>
              <w:jc w:val="left"/>
            </w:pPr>
            <w:r>
              <w:t xml:space="preserve">15%</w:t>
            </w:r>
          </w:p>
        </w:tc>
        <w:tc>
          <w:tcPr/>
          <w:p>
            <w:pPr>
              <w:pStyle w:val="Compact"/>
              <w:jc w:val="left"/>
            </w:pPr>
            <w:r>
              <w:t xml:space="preserve">+47% YoY</w:t>
            </w:r>
          </w:p>
        </w:tc>
        <w:tc>
          <w:tcPr/>
          <w:p>
            <w:pPr>
              <w:pStyle w:val="Compact"/>
              <w:jc w:val="left"/>
            </w:pPr>
            <w:r>
              <w:t xml:space="preserve">On-campus counseling services with gender-specific options; Ramadan-friendly scheduling</w:t>
            </w:r>
          </w:p>
        </w:tc>
      </w:tr>
    </w:tbl>
    <w:p>
      <w:pPr>
        <w:pStyle w:val="BodyText"/>
      </w:pPr>
      <w:r>
        <w:rPr>
          <w:bCs/>
          <w:b/>
        </w:rPr>
        <w:t xml:space="preserve">Abu Dhabi-Specific Success:</w:t>
      </w:r>
      <w:r>
        <w:t xml:space="preserve"> </w:t>
      </w:r>
      <w:r>
        <w:t xml:space="preserve">Our partnership with the Abu Dhabi University's Student Wellness Center resulted in 127 new student consultations (Q4 2023), demonstrating how academic institutions recognize the value of licensed psychologists in community mental health development within the UAE.</w:t>
      </w:r>
    </w:p>
    <w:bookmarkEnd w:id="25"/>
    <w:bookmarkStart w:id="26" w:name="challenges-strategic-responses"/>
    <w:p>
      <w:pPr>
        <w:pStyle w:val="Heading2"/>
      </w:pPr>
      <w:r>
        <w:t xml:space="preserve">Challenges &amp; Strategic Responses</w:t>
      </w:r>
    </w:p>
    <w:p>
      <w:pPr>
        <w:pStyle w:val="FirstParagraph"/>
      </w:pPr>
      <w:r>
        <w:rPr>
          <w:bCs/>
          <w:b/>
        </w:rPr>
        <w:t xml:space="preserve">Challenge 1: Cultural Stigma</w:t>
      </w:r>
      <w:r>
        <w:br/>
      </w:r>
      <w:r>
        <w:t xml:space="preserve">Traditional perceptions of psychological care as "Western" created initial hesitation among Emirati clients. Our response included collaborating with Abu Dhabi-based Islamic centers to host free mental wellness workshops, featuring certified psychologists discussing "Mental Health in the Islamic Tradition." This initiative directly contributed to a 65% increase in Emirati family consultations.</w:t>
      </w:r>
    </w:p>
    <w:p>
      <w:pPr>
        <w:pStyle w:val="BodyText"/>
      </w:pPr>
      <w:r>
        <w:rPr>
          <w:bCs/>
          <w:b/>
        </w:rPr>
        <w:t xml:space="preserve">Challenge 2: Regulatory Compliance</w:t>
      </w:r>
      <w:r>
        <w:br/>
      </w:r>
      <w:r>
        <w:t xml:space="preserve">Navigating Abu Dhabi's strict licensing requirements (through DOH) required additional administrative resources. We established a dedicated compliance officer and invested in monthly training sessions on UAE healthcare regulations, ensuring zero compliance violations while expanding our service reach across Abu Dhabi's private healthcare sector.</w:t>
      </w:r>
    </w:p>
    <w:p>
      <w:pPr>
        <w:pStyle w:val="BodyText"/>
      </w:pPr>
      <w:r>
        <w:rPr>
          <w:bCs/>
          <w:b/>
        </w:rPr>
        <w:t xml:space="preserve">Strategic Outcome:</w:t>
      </w:r>
      <w:r>
        <w:t xml:space="preserve"> </w:t>
      </w:r>
      <w:r>
        <w:t xml:space="preserve">These adaptations have positioned our practice as the only psychology service in Abu Dhabi with explicit certification for cultural competency from the Emirates Psychological Association (EPA), a requirement for healthcare contracts in Abu Dhabi government entities.</w:t>
      </w:r>
    </w:p>
    <w:bookmarkEnd w:id="26"/>
    <w:bookmarkStart w:id="27" w:name="X381cb9059febf7eac56a24b3cbd8b9a7316067d"/>
    <w:p>
      <w:pPr>
        <w:pStyle w:val="Heading2"/>
      </w:pPr>
      <w:r>
        <w:t xml:space="preserve">Future Sales Strategy: 2024 Expansion Plan</w:t>
      </w:r>
    </w:p>
    <w:p>
      <w:pPr>
        <w:pStyle w:val="FirstParagraph"/>
      </w:pPr>
      <w:r>
        <w:t xml:space="preserve">Building on our Q3-Q4 success, we are implementing a targeted growth strategy for the United Arab Emirates Abu Dhabi market with three pillars:</w:t>
      </w:r>
    </w:p>
    <w:p>
      <w:pPr>
        <w:numPr>
          <w:ilvl w:val="0"/>
          <w:numId w:val="1001"/>
        </w:numPr>
        <w:pStyle w:val="Compact"/>
      </w:pPr>
      <w:r>
        <w:rPr>
          <w:bCs/>
          <w:b/>
        </w:rPr>
        <w:t xml:space="preserve">Corporate Wellness Expansion:</w:t>
      </w:r>
      <w:r>
        <w:t xml:space="preserve"> </w:t>
      </w:r>
      <w:r>
        <w:t xml:space="preserve">Targeting Abu Dhabi's top 50 multinational companies (including ADNOC, Etihad Airways, and tourism sector giants) with customized stress management programs aligned with UAE work culture standards.</w:t>
      </w:r>
    </w:p>
    <w:p>
      <w:pPr>
        <w:numPr>
          <w:ilvl w:val="0"/>
          <w:numId w:val="1001"/>
        </w:numPr>
        <w:pStyle w:val="Compact"/>
      </w:pPr>
      <w:r>
        <w:rPr>
          <w:bCs/>
          <w:b/>
        </w:rPr>
        <w:t xml:space="preserve">Government Partnership Program:</w:t>
      </w:r>
      <w:r>
        <w:t xml:space="preserve"> </w:t>
      </w:r>
      <w:r>
        <w:t xml:space="preserve">Seeking formal collaboration with Abu Dhabi Health Services (SEHA) to provide psychological support within public healthcare facilities by Q2 2024.</w:t>
      </w:r>
    </w:p>
    <w:p>
      <w:pPr>
        <w:numPr>
          <w:ilvl w:val="0"/>
          <w:numId w:val="1001"/>
        </w:numPr>
        <w:pStyle w:val="Compact"/>
      </w:pPr>
      <w:r>
        <w:rPr>
          <w:bCs/>
          <w:b/>
        </w:rPr>
        <w:t xml:space="preserve">Digital Accessibility Initiative:</w:t>
      </w:r>
      <w:r>
        <w:t xml:space="preserve"> </w:t>
      </w:r>
      <w:r>
        <w:t xml:space="preserve">Launching an Arabic-English teletherapy platform compliant with UAE data protection laws, enabling remote consultations across all Abu Dhabi regions including remote communities like Al Gharbia and Al Dhafra.</w:t>
      </w:r>
    </w:p>
    <w:p>
      <w:pPr>
        <w:pStyle w:val="FirstParagraph"/>
      </w:pPr>
      <w:r>
        <w:t xml:space="preserve">Projected financial impact: These initiatives target a 50% revenue increase in Abu Dhabi by Q4 2024, maintaining our commitment to culturally responsive psychological services that meet UAE national healthcare objectives while delivering exceptional client outcomes.</w:t>
      </w:r>
    </w:p>
    <w:bookmarkEnd w:id="27"/>
    <w:bookmarkStart w:id="28" w:name="conclusion"/>
    <w:p>
      <w:pPr>
        <w:pStyle w:val="Heading2"/>
      </w:pPr>
      <w:r>
        <w:t xml:space="preserve">Conclusion</w:t>
      </w:r>
    </w:p>
    <w:p>
      <w:pPr>
        <w:pStyle w:val="FirstParagraph"/>
      </w:pPr>
      <w:r>
        <w:t xml:space="preserve">The 37% year-over-year growth in sales for our psychological practice within Abu Dhabi underscores the critical evolution of mental healthcare in the United Arab Emirates. This success demonstrates that culturally intelligent psychological services are not merely marketable but essential to Abu Dhabi's holistic health development. As we continue to pioneer evidence-based approaches that honor Emirati cultural values, our practice remains at the forefront of elevating psychological care standards across the UAE's most dynamic city-state. The data confirms: when psychological services authentically engage with Abu Dhabi's unique social fabric, they achieve sustainable growth while making meaningful community impact.</w:t>
      </w:r>
    </w:p>
    <w:p>
      <w:pPr>
        <w:pStyle w:val="BodyText"/>
      </w:pPr>
      <w:r>
        <w:rPr>
          <w:bCs/>
          <w:b/>
        </w:rPr>
        <w:t xml:space="preserve">Prepared for:</w:t>
      </w:r>
      <w:r>
        <w:t xml:space="preserve"> </w:t>
      </w:r>
      <w:r>
        <w:t xml:space="preserve">Abu Dhabi Health Authority (DOH) Strategic Review Board |</w:t>
      </w:r>
      <w:r>
        <w:t xml:space="preserve"> </w:t>
      </w:r>
      <w:r>
        <w:rPr>
          <w:bCs/>
          <w:b/>
        </w:rPr>
        <w:t xml:space="preserve">Date:</w:t>
      </w:r>
      <w:r>
        <w:t xml:space="preserve"> </w:t>
      </w:r>
      <w:r>
        <w:t xml:space="preserve">October 26, 2023</w:t>
      </w:r>
    </w:p>
    <w:bookmarkEnd w:id="28"/>
    <w:p>
      <w:pPr>
        <w:pStyle w:val="BodyText"/>
      </w:pPr>
      <w:r>
        <w:t xml:space="preserve">This Sales Report meets UAE Ministry of Health and Prevention (MOHAP) documentation standards for psychological service providers in Abu Dhabi. All data reflects licensed practice operations within the United Arab Emirates.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Abu Dhabi Market Analysis</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