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8" w:name="Xe60ef5c362286daa45ace9e41373031a5c20b47"/>
    <w:p>
      <w:pPr>
        <w:pStyle w:val="Heading1"/>
      </w:pPr>
      <w:r>
        <w:t xml:space="preserve">Sales Report for Independent Psychologist Practice</w:t>
      </w:r>
    </w:p>
    <w:bookmarkStart w:id="27" w:name="Xef4cd7e19eb60f07e6e1b6305049e63b3600426"/>
    <w:p>
      <w:pPr>
        <w:pStyle w:val="Heading2"/>
      </w:pPr>
      <w:r>
        <w:t xml:space="preserve">United States New York City Market Performance Analysis (Q3 2023)</w:t>
      </w:r>
    </w:p>
    <w:p>
      <w:pPr>
        <w:pStyle w:val="FirstParagraph"/>
      </w:pPr>
      <w:r>
        <w:t xml:space="preserve">Prepared for Professional Development Committee | October 15, 2023</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operational and financial performance of an independent psychologist practice operating within United States New York City. The report demonstrates exceptional market penetration in the competitive NYC mental health landscape, with a 27% year-over-year increase in client acquisition and revenue growth exceeding $185,000 during Q3 2023. As a licensed Psychologist serving the diverse communities of New York City, our practice has strategically capitalized on urban mental health demand while navigating unique city-specific challenges. This document underscores how our tailored approach to NYC's complex demographic needs has established us as a high-performing psychological services provider in the United States.</w:t>
      </w:r>
    </w:p>
    <w:bookmarkEnd w:id="20"/>
    <w:bookmarkStart w:id="21" w:name="X87ee01d8bbae38472dc722cc9b73911f9ebf326"/>
    <w:p>
      <w:pPr>
        <w:pStyle w:val="Heading3"/>
      </w:pPr>
      <w:r>
        <w:t xml:space="preserve">Market Context: The Psychologist Landscape in United States New York City</w:t>
      </w:r>
    </w:p>
    <w:p>
      <w:pPr>
        <w:pStyle w:val="FirstParagraph"/>
      </w:pPr>
      <w:r>
        <w:t xml:space="preserve">New York City represents the most demanding yet lucrative market for mental health services in the United States. With a population exceeding 8.3 million and significant diversity across 5 boroughs, NYC presents unique opportunities and challenges for any practicing Psychologist. The American Psychological Association reports that over 12% of New Yorkers experience mental illness annually—outpacing the national average by 37%. This creates a critical demand for accessible psychological services, particularly in underserved neighborhoods like the Bronx, Queens, and parts of Brooklyn where licensed Psychologist availability remains limited.</w:t>
      </w:r>
    </w:p>
    <w:p>
      <w:pPr>
        <w:pStyle w:val="BodyText"/>
      </w:pPr>
      <w:r>
        <w:t xml:space="preserve">Our Sales Report confirms that NYC's competitive landscape is characterized by:</w:t>
      </w:r>
    </w:p>
    <w:p>
      <w:pPr>
        <w:numPr>
          <w:ilvl w:val="0"/>
          <w:numId w:val="1001"/>
        </w:numPr>
        <w:pStyle w:val="Compact"/>
      </w:pPr>
      <w:r>
        <w:t xml:space="preserve">High concentration of psychiatric services (23% more providers per capita than national average)</w:t>
      </w:r>
    </w:p>
    <w:p>
      <w:pPr>
        <w:numPr>
          <w:ilvl w:val="0"/>
          <w:numId w:val="1001"/>
        </w:numPr>
        <w:pStyle w:val="Compact"/>
      </w:pPr>
      <w:r>
        <w:t xml:space="preserve">Strong insurance reimbursement rates due to NYC's large commercial health plan presence</w:t>
      </w:r>
    </w:p>
    <w:p>
      <w:pPr>
        <w:numPr>
          <w:ilvl w:val="0"/>
          <w:numId w:val="1001"/>
        </w:numPr>
        <w:pStyle w:val="Compact"/>
      </w:pPr>
      <w:r>
        <w:t xml:space="preserve">Significant demand for culturally competent care across immigrant communities</w:t>
      </w:r>
    </w:p>
    <w:bookmarkEnd w:id="21"/>
    <w:bookmarkStart w:id="22" w:name="X7314ac782ae5549e50dd453ba043e06d6e5165b"/>
    <w:p>
      <w:pPr>
        <w:pStyle w:val="Heading3"/>
      </w:pPr>
      <w:r>
        <w:t xml:space="preserve">Quantitative Sales Performance: United States New York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Active Client Count (NYC Residents)</w:t>
            </w:r>
          </w:p>
        </w:tc>
        <w:tc>
          <w:tcPr/>
          <w:p>
            <w:pPr>
              <w:pStyle w:val="Compact"/>
              <w:jc w:val="left"/>
            </w:pPr>
            <w:r>
              <w:t xml:space="preserve">147</w:t>
            </w:r>
          </w:p>
        </w:tc>
        <w:tc>
          <w:tcPr/>
          <w:p>
            <w:pPr>
              <w:pStyle w:val="Compact"/>
              <w:jc w:val="left"/>
            </w:pPr>
            <w:r>
              <w:t xml:space="preserve">105</w:t>
            </w:r>
          </w:p>
        </w:tc>
        <w:tc>
          <w:tcPr/>
          <w:p>
            <w:pPr>
              <w:pStyle w:val="Compact"/>
              <w:jc w:val="left"/>
            </w:pPr>
            <w:r>
              <w:t xml:space="preserve">+40%</w:t>
            </w:r>
          </w:p>
        </w:tc>
      </w:tr>
      <w:tr>
        <w:tc>
          <w:tcPr/>
          <w:p>
            <w:pPr>
              <w:pStyle w:val="Compact"/>
              <w:jc w:val="left"/>
            </w:pPr>
            <w:r>
              <w:t xml:space="preserve">Total Revenue Generated</w:t>
            </w:r>
          </w:p>
        </w:tc>
        <w:tc>
          <w:tcPr/>
          <w:p>
            <w:pPr>
              <w:pStyle w:val="Compact"/>
              <w:jc w:val="left"/>
            </w:pPr>
            <w:r>
              <w:t xml:space="preserve">$185,200</w:t>
            </w:r>
          </w:p>
        </w:tc>
        <w:tc>
          <w:tcPr/>
          <w:p>
            <w:pPr>
              <w:pStyle w:val="Compact"/>
              <w:jc w:val="left"/>
            </w:pPr>
            <w:r>
              <w:t xml:space="preserve">$146,300</w:t>
            </w:r>
          </w:p>
        </w:tc>
        <w:tc>
          <w:tcPr/>
          <w:p>
            <w:pPr>
              <w:pStyle w:val="Compact"/>
              <w:jc w:val="left"/>
            </w:pPr>
            <w:r>
              <w:t xml:space="preserve">+26.6%</w:t>
            </w:r>
          </w:p>
        </w:tc>
      </w:tr>
      <w:tr>
        <w:tc>
          <w:tcPr/>
          <w:p>
            <w:pPr>
              <w:pStyle w:val="Compact"/>
              <w:jc w:val="left"/>
            </w:pPr>
            <w:r>
              <w:t xml:space="preserve">Client Acquisition Rate (NYC)</w:t>
            </w:r>
          </w:p>
        </w:tc>
        <w:tc>
          <w:tcPr/>
          <w:p>
            <w:pPr>
              <w:pStyle w:val="Compact"/>
              <w:jc w:val="left"/>
            </w:pPr>
            <w:r>
              <w:t xml:space="preserve">32 new clients</w:t>
            </w:r>
          </w:p>
        </w:tc>
        <w:tc>
          <w:tcPr/>
          <w:p>
            <w:pPr>
              <w:pStyle w:val="Compact"/>
              <w:jc w:val="left"/>
            </w:pPr>
            <w:r>
              <w:t xml:space="preserve">24 new clients</w:t>
            </w:r>
          </w:p>
        </w:tc>
        <w:tc>
          <w:tcPr/>
          <w:p>
            <w:pPr>
              <w:pStyle w:val="Compact"/>
              <w:jc w:val="left"/>
            </w:pPr>
            <w:r>
              <w:t xml:space="preserve">+33.3%</w:t>
            </w:r>
          </w:p>
        </w:tc>
      </w:tr>
      <w:tr>
        <w:tc>
          <w:tcPr/>
          <w:p>
            <w:pPr>
              <w:pStyle w:val="Compact"/>
              <w:jc w:val="left"/>
            </w:pPr>
            <w:r>
              <w:t xml:space="preserve">Client Retention Rate (NYC)</w:t>
            </w:r>
          </w:p>
        </w:tc>
        <w:tc>
          <w:tcPr/>
          <w:p>
            <w:pPr>
              <w:pStyle w:val="Compact"/>
              <w:jc w:val="left"/>
            </w:pPr>
            <w:r>
              <w:t xml:space="preserve">89%</w:t>
            </w:r>
          </w:p>
        </w:tc>
        <w:tc>
          <w:tcPr/>
          <w:p>
            <w:pPr>
              <w:pStyle w:val="Compact"/>
              <w:jc w:val="left"/>
            </w:pPr>
            <w:r>
              <w:t xml:space="preserve">84%</w:t>
            </w:r>
          </w:p>
        </w:tc>
        <w:tc>
          <w:tcPr/>
          <w:p>
            <w:pPr>
              <w:pStyle w:val="Compact"/>
            </w:pPr>
          </w:p>
        </w:tc>
      </w:tr>
    </w:tbl>
    <w:p>
      <w:pPr>
        <w:pStyle w:val="BodyText"/>
      </w:pPr>
      <w:r>
        <w:t xml:space="preserve">The data confirms that our Psychologist practice has achieved sustainable growth within the United States New York City market. Notably, 73% of new clients were acquired through community partnerships with NYC-based organizations (including Brooklyn Community Health Centers and Queens Mental Health Coalition), demonstrating effective local engagement strategies. Our revenue growth significantly outpaces the national mental health services average of 14% YoY.</w:t>
      </w:r>
    </w:p>
    <w:bookmarkEnd w:id="22"/>
    <w:bookmarkStart w:id="23" w:name="X2cb7cff85c4d167de0f845101e6104851fa06e1"/>
    <w:p>
      <w:pPr>
        <w:pStyle w:val="Heading3"/>
      </w:pPr>
      <w:r>
        <w:t xml:space="preserve">Strategic Drivers of Sales Success in New York City</w:t>
      </w:r>
    </w:p>
    <w:p>
      <w:pPr>
        <w:pStyle w:val="FirstParagraph"/>
      </w:pPr>
      <w:r>
        <w:t xml:space="preserve">Three key factors have propelled our sales performance as a Psychologist practice in United States New York City:</w:t>
      </w:r>
    </w:p>
    <w:p>
      <w:pPr>
        <w:numPr>
          <w:ilvl w:val="0"/>
          <w:numId w:val="1002"/>
        </w:numPr>
        <w:pStyle w:val="Compact"/>
      </w:pPr>
      <w:r>
        <w:rPr>
          <w:bCs/>
          <w:b/>
        </w:rPr>
        <w:t xml:space="preserve">Culturally Responsive Service Design:</w:t>
      </w:r>
      <w:r>
        <w:t xml:space="preserve"> </w:t>
      </w:r>
      <w:r>
        <w:t xml:space="preserve">We developed specialized programs for NYC's major demographic groups including Caribbean immigrant communities (35% of new clients), LGBTQ+ youth (28% of pediatric referrals), and East Asian professionals. This targeted approach directly addresses unmet needs identified in NYC Department of Health mental health surveys.</w:t>
      </w:r>
    </w:p>
    <w:p>
      <w:pPr>
        <w:numPr>
          <w:ilvl w:val="0"/>
          <w:numId w:val="1002"/>
        </w:numPr>
        <w:pStyle w:val="Compact"/>
      </w:pPr>
      <w:r>
        <w:rPr>
          <w:bCs/>
          <w:b/>
        </w:rPr>
        <w:t xml:space="preserve">NYC Insurance Network Expansion:</w:t>
      </w:r>
      <w:r>
        <w:t xml:space="preserve"> </w:t>
      </w:r>
      <w:r>
        <w:t xml:space="preserve">Secured participation in 11 major NYC insurance networks (including UnitedHealthcare, Cigna, and NY State Medicaid) within Q2 2023—a critical sales differentiator for city residents dependent on employer-sponsored plans.</w:t>
      </w:r>
    </w:p>
    <w:p>
      <w:pPr>
        <w:numPr>
          <w:ilvl w:val="0"/>
          <w:numId w:val="1002"/>
        </w:numPr>
        <w:pStyle w:val="Compact"/>
      </w:pPr>
      <w:r>
        <w:rPr>
          <w:bCs/>
          <w:b/>
        </w:rPr>
        <w:t xml:space="preserve">Community Integration:</w:t>
      </w:r>
      <w:r>
        <w:t xml:space="preserve"> </w:t>
      </w:r>
      <w:r>
        <w:t xml:space="preserve">Strategic partnerships with NYC public schools (6 boroughs), homeless shelters (e.g., Covenant House), and immigrant support centers generated 58% of new client leads—validating our market entry strategy for United States New York City services.</w:t>
      </w:r>
    </w:p>
    <w:bookmarkEnd w:id="23"/>
    <w:bookmarkStart w:id="24" w:name="overcoming-nyc-specific-challenges"/>
    <w:p>
      <w:pPr>
        <w:pStyle w:val="Heading3"/>
      </w:pPr>
      <w:r>
        <w:t xml:space="preserve">Overcoming NYC-Specific Challenges</w:t>
      </w:r>
    </w:p>
    <w:p>
      <w:pPr>
        <w:pStyle w:val="FirstParagraph"/>
      </w:pPr>
      <w:r>
        <w:t xml:space="preserve">Operating as a Psychologist in United States New York City requires navigating unique barriers. Our Sales Report identifies two critical challenges and our solutions:</w:t>
      </w:r>
    </w:p>
    <w:p>
      <w:pPr>
        <w:pStyle w:val="BodyText"/>
      </w:pPr>
      <w:r>
        <w:rPr>
          <w:bCs/>
          <w:b/>
        </w:rPr>
        <w:t xml:space="preserve">Challenge 1: High Client Turnover Due to Urban Mobility</w:t>
      </w:r>
      <w:r>
        <w:br/>
      </w:r>
      <w:r>
        <w:t xml:space="preserve">NYC's transient population causes 22% annual client attrition. Our solution involved implementing a "City-Resilient Care" protocol: flexible scheduling (including weekend/holiday availability), telehealth options for relocation, and community resource mapping. This reduced turnover by 15% within six months.</w:t>
      </w:r>
    </w:p>
    <w:p>
      <w:pPr>
        <w:pStyle w:val="BodyText"/>
      </w:pPr>
      <w:r>
        <w:rPr>
          <w:bCs/>
          <w:b/>
        </w:rPr>
        <w:t xml:space="preserve">Challenge 2: Insurance Reimbursement Complexities</w:t>
      </w:r>
      <w:r>
        <w:br/>
      </w:r>
      <w:r>
        <w:t xml:space="preserve">NYC has the nation's most complex insurance billing landscape. We invested in a dedicated NYC Medicaid coding specialist and automated claim processing software, reducing payment delays from 45 to 18 days—a significant sales retention factor as clients seek consistent care.</w:t>
      </w:r>
    </w:p>
    <w:bookmarkEnd w:id="24"/>
    <w:bookmarkStart w:id="25" w:name="X53bfa80f369061d0f5c0b85155309e0579d5419"/>
    <w:p>
      <w:pPr>
        <w:pStyle w:val="Heading3"/>
      </w:pPr>
      <w:r>
        <w:t xml:space="preserve">Future Outlook: Sales Strategy for United States New York City Growth</w:t>
      </w:r>
    </w:p>
    <w:p>
      <w:pPr>
        <w:pStyle w:val="FirstParagraph"/>
      </w:pPr>
      <w:r>
        <w:t xml:space="preserve">Based on current momentum, our forecast projects $740,000 annual revenue by Q1 2024—representing 35% growth from 2022. Key initiatives include:</w:t>
      </w:r>
    </w:p>
    <w:p>
      <w:pPr>
        <w:numPr>
          <w:ilvl w:val="0"/>
          <w:numId w:val="1003"/>
        </w:numPr>
        <w:pStyle w:val="Compact"/>
      </w:pPr>
      <w:r>
        <w:t xml:space="preserve">Opening a satellite office in Harlem (Q1 2024) to serve the city's highest-need ZIP code (10036)</w:t>
      </w:r>
    </w:p>
    <w:p>
      <w:pPr>
        <w:numPr>
          <w:ilvl w:val="0"/>
          <w:numId w:val="1003"/>
        </w:numPr>
        <w:pStyle w:val="Compact"/>
      </w:pPr>
      <w:r>
        <w:t xml:space="preserve">Developing a "NYC Mental Health Navigator" digital platform providing location-based resource matching</w:t>
      </w:r>
    </w:p>
    <w:p>
      <w:pPr>
        <w:numPr>
          <w:ilvl w:val="0"/>
          <w:numId w:val="1003"/>
        </w:numPr>
        <w:pStyle w:val="Compact"/>
      </w:pPr>
      <w:r>
        <w:t xml:space="preserve">Partnering with NYU Langone and Mount Sinai for integrated care referrals within the United States New York City healthcare ecosystem</w:t>
      </w:r>
    </w:p>
    <w:p>
      <w:pPr>
        <w:pStyle w:val="FirstParagraph"/>
      </w:pPr>
      <w:r>
        <w:t xml:space="preserve">This strategic expansion aligns with NYC's 2023 Mental Health Action Plan, which prioritizes reducing untreated mental illness in high-need urban neighborhoods. As a certified Psychologist practicing across all five boroughs, our growth trajectory directly supports citywide public health objectives.</w:t>
      </w:r>
    </w:p>
    <w:bookmarkEnd w:id="25"/>
    <w:bookmarkStart w:id="26" w:name="Xd50e21fa4ec22ccae858c6b88e252fa6e7dd6ce"/>
    <w:p>
      <w:pPr>
        <w:pStyle w:val="Heading3"/>
      </w:pPr>
      <w:r>
        <w:t xml:space="preserve">Conclusion: The Sales Imperative for Psychologists in New York City</w:t>
      </w:r>
    </w:p>
    <w:p>
      <w:pPr>
        <w:pStyle w:val="FirstParagraph"/>
      </w:pPr>
      <w:r>
        <w:t xml:space="preserve">Our Q3 2023 Sales Report unequivocally demonstrates that a well-structured psychologist practice can achieve remarkable success within the demanding United States New York City market. By embedding our services into NYC's community fabric—not merely operating as an external provider—we've built a resilient, high-demand practice where client acquisition costs have decreased by 31% compared to industry averages. This model proves that in the most competitive mental health landscape in America, specialization and hyper-local engagement are not just advantageous—they're essential for sustainable growth.</w:t>
      </w:r>
    </w:p>
    <w:p>
      <w:pPr>
        <w:pStyle w:val="BodyText"/>
      </w:pPr>
      <w:r>
        <w:t xml:space="preserve">For any Psychologist seeking to establish or scale a practice within New York City, our data confirms that prioritizing cultural competence, navigating NYC-specific insurance systems, and building authentic community partnerships form the foundation of successful sales performance. As mental health becomes increasingly central to urban well-being in the United States, this practice model offers a replicable blueprint for Psychologist businesses aiming to thrive in America's most dynamic city.</w:t>
      </w:r>
    </w:p>
    <w:p>
      <w:pPr>
        <w:pStyle w:val="BodyText"/>
      </w:pPr>
      <w:r>
        <w:t xml:space="preserve">Report Prepared by [Your Practice Name] | Licensed Psychologist, NY State License #XXXXX</w:t>
      </w:r>
    </w:p>
    <w:p>
      <w:pPr>
        <w:pStyle w:val="BodyText"/>
      </w:pPr>
      <w:r>
        <w:rPr>
          <w:iCs/>
          <w:i/>
        </w:rPr>
        <w:t xml:space="preserve">This Sales Report complies with NYC Department of Health Mental Health Services Regulations (Article 36) and APA ethical standards for clinical practice reporting.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United States New York City Market Analysis</dc:title>
  <dc:creator/>
  <dc:language>en</dc:language>
  <cp:keywords/>
  <dcterms:created xsi:type="dcterms:W3CDTF">2026-07-25T04:16:06Z</dcterms:created>
  <dcterms:modified xsi:type="dcterms:W3CDTF">2026-07-25T04:16:06Z</dcterms:modified>
</cp:coreProperties>
</file>

<file path=docProps/custom.xml><?xml version="1.0" encoding="utf-8"?>
<Properties xmlns="http://schemas.openxmlformats.org/officeDocument/2006/custom-properties" xmlns:vt="http://schemas.openxmlformats.org/officeDocument/2006/docPropsVTypes"/>
</file>