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r>
        <w:t xml:space="preserve"> </w:t>
      </w:r>
      <w:r>
        <w:t xml:space="preserve">Analysis</w:t>
      </w:r>
    </w:p>
    <w:bookmarkStart w:id="28" w:name="Xc4f418de35347f03673407ba1366dbe57de89b3"/>
    <w:p>
      <w:pPr>
        <w:pStyle w:val="Heading1"/>
      </w:pPr>
      <w:r>
        <w:t xml:space="preserve">Sales Report: Comprehensive Performance Analysis for Psychologist Services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psychologist services within the competitive mental health landscape of United States San Francisco. Despite pandemic-related market fluctuations, our practice has achieved remarkable growth in client acquisition and revenue, demonstrating strong alignment with San Francisco's evolving behavioral health needs. The Q3 2023 results show a 32% year-over-year increase in total revenue ($1.84M vs $1.4M), driven by strategic expansion into underserved San Francisco demographics and premium telehealth services. This report analyzes key performance indicators, market trends, and actionable recommendations to sustain momentum in one of America's most dynamic urban psychological service markets.</w:t>
      </w:r>
    </w:p>
    <w:bookmarkEnd w:id="20"/>
    <w:bookmarkStart w:id="21" w:name="Xc50561dd0323ac633a854a76de79aebb282760c"/>
    <w:p>
      <w:pPr>
        <w:pStyle w:val="Heading2"/>
      </w:pPr>
      <w:r>
        <w:t xml:space="preserve">II. Market Context: United States San Francisco Psychological Services Landscape</w:t>
      </w:r>
    </w:p>
    <w:p>
      <w:pPr>
        <w:pStyle w:val="FirstParagraph"/>
      </w:pPr>
      <w:r>
        <w:t xml:space="preserve">San Francisco represents a critical frontier for mental health innovation within the United States. With a population exceeding 800,000 and a uniquely diverse demographic profile (including significant LGBTQ+ communities, tech industry professionals, and immigrant populations), the demand for specialized psychologist services has surged by 24% since 2021 according to California Department of Public Health data. The city's high cost of living correlates with elevated stress-related disorders – San Francisco reports the highest anxiety disorder rates in Northern California (18.7% vs national average of 13.8%). This creates both a compelling market opportunity and intense competitive pressure for psychologist practices navigating the United States San Francisco ecosystem.</w:t>
      </w:r>
    </w:p>
    <w:bookmarkEnd w:id="21"/>
    <w:bookmarkStart w:id="22" w:name="iii.-q3-2023-sales-performance-breakdown"/>
    <w:p>
      <w:pPr>
        <w:pStyle w:val="Heading2"/>
      </w:pPr>
      <w:r>
        <w:t xml:space="preserve">III. 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(Psychology Services)</w:t>
            </w:r>
          </w:p>
        </w:tc>
        <w:tc>
          <w:tcPr/>
          <w:p>
            <w:pPr>
              <w:pStyle w:val="Compact"/>
              <w:jc w:val="left"/>
            </w:pPr>
            <w:r>
              <w:t xml:space="preserve">$1,840,500</w:t>
            </w:r>
          </w:p>
        </w:tc>
        <w:tc>
          <w:tcPr/>
          <w:p>
            <w:pPr>
              <w:pStyle w:val="Compact"/>
              <w:jc w:val="left"/>
            </w:pPr>
            <w:r>
              <w:t xml:space="preserve">$1,423,750</w:t>
            </w:r>
          </w:p>
        </w:tc>
        <w:tc>
          <w:tcPr/>
          <w:p>
            <w:pPr>
              <w:pStyle w:val="Compact"/>
              <w:jc w:val="left"/>
            </w:pPr>
            <w:r>
              <w:t xml:space="preserve">+32.8%</w:t>
            </w:r>
          </w:p>
        </w:tc>
      </w:tr>
      <w:tr>
        <w:tc>
          <w:tcPr/>
          <w:p>
            <w:pPr>
              <w:pStyle w:val="Compact"/>
              <w:jc w:val="left"/>
            </w:pPr>
            <w:r>
              <w:t xml:space="preserve">New Client Acquisitions</w:t>
            </w:r>
          </w:p>
        </w:tc>
        <w:tc>
          <w:tcPr/>
          <w:p>
            <w:pPr>
              <w:pStyle w:val="Compact"/>
              <w:jc w:val="left"/>
            </w:pPr>
            <w:r>
              <w:t xml:space="preserve">297</w:t>
            </w:r>
          </w:p>
        </w:tc>
        <w:tc>
          <w:tcPr/>
          <w:p>
            <w:pPr>
              <w:pStyle w:val="Compact"/>
              <w:jc w:val="left"/>
            </w:pPr>
            <w:r>
              <w:t xml:space="preserve">186</w:t>
            </w:r>
          </w:p>
        </w:tc>
        <w:tc>
          <w:tcPr/>
          <w:p>
            <w:pPr>
              <w:pStyle w:val="Compact"/>
              <w:jc w:val="left"/>
            </w:pPr>
            <w:r>
              <w:t xml:space="preserve">+60.7%</w:t>
            </w:r>
          </w:p>
        </w:tc>
      </w:tr>
      <w:tr>
        <w:tc>
          <w:tcPr/>
          <w:p>
            <w:pPr>
              <w:pStyle w:val="Compact"/>
              <w:jc w:val="left"/>
            </w:pPr>
            <w:r>
              <w:t xml:space="preserve">Service-Specific Growth (Q3 2023)</w:t>
            </w:r>
          </w:p>
        </w:tc>
        <w:tc>
          <w:tcPr/>
          <w:p>
            <w:pPr>
              <w:pStyle w:val="Compact"/>
            </w:pPr>
          </w:p>
        </w:tc>
        <w:tc>
          <w:tcPr/>
          <w:p>
            <w:pPr>
              <w:pStyle w:val="Compact"/>
            </w:pPr>
          </w:p>
        </w:tc>
        <w:tc>
          <w:tcPr/>
          <w:p>
            <w:pPr>
              <w:pStyle w:val="Compact"/>
            </w:pPr>
          </w:p>
        </w:tc>
      </w:tr>
      <w:tr>
        <w:tc>
          <w:tcPr/>
          <w:p>
            <w:pPr>
              <w:pStyle w:val="Compact"/>
              <w:jc w:val="left"/>
            </w:pPr>
            <w:r>
              <w:t xml:space="preserve">Individual Therapy (In-Person)</w:t>
            </w:r>
          </w:p>
        </w:tc>
        <w:tc>
          <w:tcPr/>
          <w:p>
            <w:pPr>
              <w:pStyle w:val="Compact"/>
              <w:jc w:val="left"/>
            </w:pPr>
            <w:r>
              <w:t xml:space="preserve">$685,000</w:t>
            </w:r>
          </w:p>
        </w:tc>
        <w:tc>
          <w:tcPr/>
          <w:p>
            <w:pPr>
              <w:pStyle w:val="Compact"/>
              <w:jc w:val="left"/>
            </w:pPr>
            <w:r>
              <w:t xml:space="preserve">$512,300</w:t>
            </w:r>
          </w:p>
        </w:tc>
        <w:tc>
          <w:tcPr/>
          <w:p>
            <w:pPr>
              <w:pStyle w:val="Compact"/>
              <w:jc w:val="left"/>
            </w:pPr>
            <w:r>
              <w:t xml:space="preserve">+33.7%</w:t>
            </w:r>
          </w:p>
        </w:tc>
      </w:tr>
      <w:tr>
        <w:tc>
          <w:tcPr/>
          <w:p>
            <w:pPr>
              <w:pStyle w:val="Compact"/>
              <w:jc w:val="left"/>
            </w:pPr>
            <w:r>
              <w:t xml:space="preserve">Telehealth Counseling</w:t>
            </w:r>
          </w:p>
        </w:tc>
        <w:tc>
          <w:tcPr/>
          <w:p>
            <w:pPr>
              <w:pStyle w:val="Compact"/>
              <w:jc w:val="left"/>
            </w:pPr>
            <w:r>
              <w:t xml:space="preserve">$498,250</w:t>
            </w:r>
          </w:p>
        </w:tc>
        <w:tc>
          <w:tcPr/>
          <w:p>
            <w:pPr>
              <w:pStyle w:val="Compact"/>
              <w:jc w:val="left"/>
            </w:pPr>
            <w:r>
              <w:t xml:space="preserve">$312,150</w:t>
            </w:r>
          </w:p>
        </w:tc>
        <w:tc>
          <w:tcPr/>
          <w:p>
            <w:pPr>
              <w:pStyle w:val="Compact"/>
              <w:jc w:val="left"/>
            </w:pPr>
            <w:r>
              <w:t xml:space="preserve">+59.6%</w:t>
            </w:r>
          </w:p>
        </w:tc>
      </w:tr>
      <w:tr>
        <w:tc>
          <w:tcPr/>
          <w:p>
            <w:pPr>
              <w:pStyle w:val="Compact"/>
              <w:jc w:val="left"/>
            </w:pPr>
            <w:r>
              <w:t xml:space="preserve">Specialized Services (Trauma, OCD, Autism)</w:t>
            </w:r>
          </w:p>
        </w:tc>
        <w:tc>
          <w:tcPr/>
          <w:p>
            <w:pPr>
              <w:pStyle w:val="Compact"/>
              <w:jc w:val="left"/>
            </w:pPr>
            <w:r>
              <w:t xml:space="preserve">$367,400</w:t>
            </w:r>
          </w:p>
        </w:tc>
        <w:tc>
          <w:tcPr/>
          <w:p>
            <w:pPr>
              <w:pStyle w:val="Compact"/>
              <w:jc w:val="left"/>
            </w:pPr>
            <w:r>
              <w:t xml:space="preserve">$284,600</w:t>
            </w:r>
          </w:p>
        </w:tc>
        <w:tc>
          <w:tcPr/>
          <w:p>
            <w:pPr>
              <w:pStyle w:val="Compact"/>
              <w:jc w:val="left"/>
            </w:pPr>
            <w:r>
              <w:t xml:space="preserve">+29.1%</w:t>
            </w:r>
          </w:p>
        </w:tc>
      </w:tr>
      <w:tr>
        <w:tc>
          <w:tcPr/>
          <w:p>
            <w:pPr>
              <w:pStyle w:val="Compact"/>
              <w:jc w:val="left"/>
            </w:pPr>
            <w:r>
              <w:t xml:space="preserve">Client Retention Metrics</w:t>
            </w:r>
          </w:p>
        </w:tc>
        <w:tc>
          <w:tcPr/>
          <w:p>
            <w:pPr>
              <w:pStyle w:val="Compact"/>
            </w:pPr>
          </w:p>
        </w:tc>
        <w:tc>
          <w:tcPr/>
          <w:p>
            <w:pPr>
              <w:pStyle w:val="Compact"/>
            </w:pPr>
          </w:p>
        </w:tc>
        <w:tc>
          <w:tcPr/>
          <w:p>
            <w:pPr>
              <w:pStyle w:val="Compact"/>
            </w:pPr>
          </w:p>
        </w:tc>
      </w:tr>
      <w:tr>
        <w:tc>
          <w:tcPr/>
          <w:p>
            <w:pPr>
              <w:pStyle w:val="Compact"/>
              <w:jc w:val="left"/>
            </w:pPr>
            <w:r>
              <w:t xml:space="preserve">Retention Rate (≥3 Sessions)</w:t>
            </w:r>
          </w:p>
        </w:tc>
        <w:tc>
          <w:tcPr/>
          <w:p>
            <w:pPr>
              <w:pStyle w:val="Compact"/>
              <w:jc w:val="left"/>
            </w:pPr>
            <w:r>
              <w:t xml:space="preserve">78.3%</w:t>
            </w:r>
          </w:p>
        </w:tc>
        <w:tc>
          <w:tcPr/>
          <w:p>
            <w:pPr>
              <w:pStyle w:val="Compact"/>
              <w:jc w:val="left"/>
            </w:pPr>
            <w:r>
              <w:t xml:space="preserve">71.5%</w:t>
            </w:r>
          </w:p>
        </w:tc>
        <w:tc>
          <w:tcPr/>
          <w:p>
            <w:pPr>
              <w:pStyle w:val="Compact"/>
              <w:jc w:val="left"/>
            </w:pPr>
            <w:r>
              <w:t xml:space="preserve">+6.8 pts</w:t>
            </w:r>
          </w:p>
        </w:tc>
      </w:tr>
    </w:tbl>
    <w:bookmarkEnd w:id="22"/>
    <w:bookmarkStart w:id="23" w:name="X39af34e70549234e244db1c585e281e36814759"/>
    <w:p>
      <w:pPr>
        <w:pStyle w:val="Heading2"/>
      </w:pPr>
      <w:r>
        <w:t xml:space="preserve">IV. Key Growth Drivers in United States San Francisco Market</w:t>
      </w:r>
    </w:p>
    <w:p>
      <w:pPr>
        <w:pStyle w:val="FirstParagraph"/>
      </w:pPr>
      <w:r>
        <w:t xml:space="preserve">The exceptional performance stems from three strategic pillars uniquely tailored to San Francisco's psychological service demands:</w:t>
      </w:r>
    </w:p>
    <w:p>
      <w:pPr>
        <w:numPr>
          <w:ilvl w:val="0"/>
          <w:numId w:val="1001"/>
        </w:numPr>
        <w:pStyle w:val="Compact"/>
      </w:pPr>
      <w:r>
        <w:rPr>
          <w:bCs/>
          <w:b/>
        </w:rPr>
        <w:t xml:space="preserve">Clinical Specialization for Urban Stressors:</w:t>
      </w:r>
      <w:r>
        <w:t xml:space="preserve"> </w:t>
      </w:r>
      <w:r>
        <w:t xml:space="preserve">Our psychologist team developed specialized protocols addressing Silicon Valley burnout (58% of new clients), housing insecurity (23% of cases), and immigrant adjustment disorders. This targeted approach resonated with San Francisco's high-stress professional population, generating 41% of all Q3 revenue from specialty services.</w:t>
      </w:r>
    </w:p>
    <w:p>
      <w:pPr>
        <w:numPr>
          <w:ilvl w:val="0"/>
          <w:numId w:val="1001"/>
        </w:numPr>
        <w:pStyle w:val="Compact"/>
      </w:pPr>
      <w:r>
        <w:rPr>
          <w:bCs/>
          <w:b/>
        </w:rPr>
        <w:t xml:space="preserve">Telehealth Integration:</w:t>
      </w:r>
      <w:r>
        <w:t xml:space="preserve"> </w:t>
      </w:r>
      <w:r>
        <w:t xml:space="preserve">Recognizing that 68% of San Francisco residents prefer virtual care access (per UCSF Health Survey), we implemented AI-assisted scheduling and HIPAA-compliant telehealth platforms. This reduced no-show rates by 37% and expanded our service radius to include underserved East Bay suburbs – representing $498,250 in new revenue.</w:t>
      </w:r>
    </w:p>
    <w:p>
      <w:pPr>
        <w:numPr>
          <w:ilvl w:val="0"/>
          <w:numId w:val="1001"/>
        </w:numPr>
        <w:pStyle w:val="Compact"/>
      </w:pPr>
      <w:r>
        <w:rPr>
          <w:bCs/>
          <w:b/>
        </w:rPr>
        <w:t xml:space="preserve">Community Partnerships:</w:t>
      </w:r>
      <w:r>
        <w:t xml:space="preserve"> </w:t>
      </w:r>
      <w:r>
        <w:t xml:space="preserve">Strategic collaborations with SF-based employers (including tech giants like Salesforce and Airbnb) and community centers (e.g., Glide Foundation) generated 38% of new client acquisitions. Our psychologist-led wellness workshops at these venues established trusted referral pathways within United States San Francisco's social infrastructure.</w:t>
      </w:r>
    </w:p>
    <w:bookmarkEnd w:id="23"/>
    <w:bookmarkStart w:id="24" w:name="Xb413a79470e600fc22ea076d013706c73f8b438"/>
    <w:p>
      <w:pPr>
        <w:pStyle w:val="Heading2"/>
      </w:pPr>
      <w:r>
        <w:t xml:space="preserve">V. Competitive Analysis &amp; Market Positioning</w:t>
      </w:r>
    </w:p>
    <w:p>
      <w:pPr>
        <w:pStyle w:val="FirstParagraph"/>
      </w:pPr>
      <w:r>
        <w:t xml:space="preserve">San Francisco's psychological service market features intense competition with 1,700+ licensed psychologists operating in the city (CA Board of Psychology). Our differentiation lies in:</w:t>
      </w:r>
    </w:p>
    <w:p>
      <w:pPr>
        <w:numPr>
          <w:ilvl w:val="0"/>
          <w:numId w:val="1002"/>
        </w:numPr>
        <w:pStyle w:val="Compact"/>
      </w:pPr>
      <w:r>
        <w:rPr>
          <w:bCs/>
          <w:b/>
        </w:rPr>
        <w:t xml:space="preserve">Price-Performance Premium:</w:t>
      </w:r>
      <w:r>
        <w:t xml:space="preserve"> </w:t>
      </w:r>
      <w:r>
        <w:t xml:space="preserve">At $185/session (vs. San Francisco average of $162), our practice commands higher rates through evidence-based outcomes – clients report 43% higher satisfaction scores than regional benchmarks.</w:t>
      </w:r>
    </w:p>
    <w:p>
      <w:pPr>
        <w:numPr>
          <w:ilvl w:val="0"/>
          <w:numId w:val="1002"/>
        </w:numPr>
        <w:pStyle w:val="Compact"/>
      </w:pPr>
      <w:r>
        <w:rPr>
          <w:bCs/>
          <w:b/>
        </w:rPr>
        <w:t xml:space="preserve">Cultural Competency:</w:t>
      </w:r>
      <w:r>
        <w:t xml:space="preserve"> </w:t>
      </w:r>
      <w:r>
        <w:t xml:space="preserve">42% of our psychologist staff identify as BIPOC or LGBTQ+, directly addressing a critical gap in San Francisco's mental health ecosystem where only 19% of providers share these identities (SF Human Services Report).</w:t>
      </w:r>
    </w:p>
    <w:p>
      <w:pPr>
        <w:numPr>
          <w:ilvl w:val="0"/>
          <w:numId w:val="1002"/>
        </w:numPr>
        <w:pStyle w:val="Compact"/>
      </w:pPr>
      <w:r>
        <w:rPr>
          <w:bCs/>
          <w:b/>
        </w:rPr>
        <w:t xml:space="preserve">Insurance Navigation Expertise:</w:t>
      </w:r>
      <w:r>
        <w:t xml:space="preserve"> </w:t>
      </w:r>
      <w:r>
        <w:t xml:space="preserve">Our team achieved 92% insurance reimbursement rate through partnerships with UnitedHealthcare and Blue Cross – significantly higher than the city average of 78%, making services accessible to 65% more San Francisco residents.</w:t>
      </w:r>
    </w:p>
    <w:bookmarkEnd w:id="24"/>
    <w:bookmarkStart w:id="25" w:name="vi.-challenges-strategic-recommendations"/>
    <w:p>
      <w:pPr>
        <w:pStyle w:val="Heading2"/>
      </w:pPr>
      <w:r>
        <w:t xml:space="preserve">VI. Challenges &amp; Strategic Recommendations</w:t>
      </w:r>
    </w:p>
    <w:p>
      <w:pPr>
        <w:pStyle w:val="FirstParagraph"/>
      </w:pPr>
      <w:r>
        <w:t xml:space="preserve">Despite strong growth, three challenges require immediate attention to maintain momentum in United States San Francisco:</w:t>
      </w:r>
    </w:p>
    <w:p>
      <w:pPr>
        <w:numPr>
          <w:ilvl w:val="0"/>
          <w:numId w:val="1003"/>
        </w:numPr>
        <w:pStyle w:val="Compact"/>
      </w:pPr>
      <w:r>
        <w:rPr>
          <w:bCs/>
          <w:b/>
        </w:rPr>
        <w:t xml:space="preserve">Licensing Constraints:</w:t>
      </w:r>
      <w:r>
        <w:t xml:space="preserve"> </w:t>
      </w:r>
      <w:r>
        <w:t xml:space="preserve">Limited psychologist licenses in California (requiring 1-year supervised practice post-PhD) restricts capacity. *Recommendation: Partner with Bay Area universities for internship programs to fast-track qualified professionals into our practice.*</w:t>
      </w:r>
    </w:p>
    <w:p>
      <w:pPr>
        <w:numPr>
          <w:ilvl w:val="0"/>
          <w:numId w:val="1003"/>
        </w:numPr>
        <w:pStyle w:val="Compact"/>
      </w:pPr>
      <w:r>
        <w:rPr>
          <w:bCs/>
          <w:b/>
        </w:rPr>
        <w:t xml:space="preserve">Competitive Rate Pressure:</w:t>
      </w:r>
      <w:r>
        <w:t xml:space="preserve"> </w:t>
      </w:r>
      <w:r>
        <w:t xml:space="preserve">New entrants are offering sliding-scale fees, eroding premium positioning. *Recommendation: Develop tiered service packages (e.g., "Essential Care" at $125/session) while preserving high-value specialty services.</w:t>
      </w:r>
    </w:p>
    <w:p>
      <w:pPr>
        <w:numPr>
          <w:ilvl w:val="0"/>
          <w:numId w:val="1003"/>
        </w:numPr>
        <w:pStyle w:val="Compact"/>
      </w:pPr>
      <w:r>
        <w:rPr>
          <w:bCs/>
          <w:b/>
        </w:rPr>
        <w:t xml:space="preserve">Workforce Retention:</w:t>
      </w:r>
      <w:r>
        <w:t xml:space="preserve"> </w:t>
      </w:r>
      <w:r>
        <w:t xml:space="preserve">28% of psychologist staff reported burnout in Q3 surveys. *Recommendation: Implement mandatory 4-day workweeks and mental health days – mirroring San Francisco's progressive labor standards.</w:t>
      </w:r>
    </w:p>
    <w:bookmarkEnd w:id="25"/>
    <w:bookmarkStart w:id="26" w:name="vii.-conclusion-forward-outlook"/>
    <w:p>
      <w:pPr>
        <w:pStyle w:val="Heading2"/>
      </w:pPr>
      <w:r>
        <w:t xml:space="preserve">VII. Conclusion &amp; Forward Outlook</w:t>
      </w:r>
    </w:p>
    <w:p>
      <w:pPr>
        <w:pStyle w:val="FirstParagraph"/>
      </w:pPr>
      <w:r>
        <w:t xml:space="preserve">The Q3 2023 Sales Report demonstrates that our psychologist practice has successfully navigated the complexities of serving United States San Francisco's mental health market through specialization, technology integration, and community-centric strategy. The 32.8% revenue growth positions us as a leader in a sector projected to grow at 14% annually through 2027 (US Bureau of Labor Statistics). To sustain this trajectory, we will prioritize:</w:t>
      </w:r>
    </w:p>
    <w:p>
      <w:pPr>
        <w:numPr>
          <w:ilvl w:val="0"/>
          <w:numId w:val="1004"/>
        </w:numPr>
        <w:pStyle w:val="Compact"/>
      </w:pPr>
      <w:r>
        <w:t xml:space="preserve">Expanding trauma-focused services for the homeless population (addressing San Francisco's highest homelessness rates in CA)</w:t>
      </w:r>
    </w:p>
    <w:p>
      <w:pPr>
        <w:numPr>
          <w:ilvl w:val="0"/>
          <w:numId w:val="1004"/>
        </w:numPr>
        <w:pStyle w:val="Compact"/>
      </w:pPr>
      <w:r>
        <w:t xml:space="preserve">Developing a digital mental health platform co-created with University of California, San Francisco</w:t>
      </w:r>
    </w:p>
    <w:p>
      <w:pPr>
        <w:numPr>
          <w:ilvl w:val="0"/>
          <w:numId w:val="1004"/>
        </w:numPr>
        <w:pStyle w:val="Compact"/>
      </w:pPr>
      <w:r>
        <w:t xml:space="preserve">Advocating for expanded psychologist licensure pathways at the California State Capitol</w:t>
      </w:r>
    </w:p>
    <w:p>
      <w:pPr>
        <w:pStyle w:val="FirstParagraph"/>
      </w:pPr>
      <w:r>
        <w:t xml:space="preserve">In conclusion, our data proves that specialized psychologist services are not just viable but highly profitable within United States San Francisco's market. By doubling down on cultural competence, technological innovation, and community integration – while addressing systemic barriers in mental healthcare access – we will solidify our position as the city's most trusted psychological service provider. The path forward is clear: meet San Francisco where it is today, while innovating for the mental wellness needs of tomorrow.</w:t>
      </w:r>
    </w:p>
    <w:bookmarkEnd w:id="26"/>
    <w:bookmarkStart w:id="27" w:name="appendix-key-market-data-sources"/>
    <w:p>
      <w:pPr>
        <w:pStyle w:val="Heading2"/>
      </w:pPr>
      <w:r>
        <w:t xml:space="preserve">Appendix: Key Market Data Sources</w:t>
      </w:r>
    </w:p>
    <w:p>
      <w:pPr>
        <w:numPr>
          <w:ilvl w:val="0"/>
          <w:numId w:val="1005"/>
        </w:numPr>
        <w:pStyle w:val="Compact"/>
      </w:pPr>
      <w:r>
        <w:t xml:space="preserve">California Department of Public Health, Mental Health Utilization Report (Q2 2023)</w:t>
      </w:r>
    </w:p>
    <w:p>
      <w:pPr>
        <w:numPr>
          <w:ilvl w:val="0"/>
          <w:numId w:val="1005"/>
        </w:numPr>
        <w:pStyle w:val="Compact"/>
      </w:pPr>
      <w:r>
        <w:t xml:space="preserve">UCSF Health Consumer Survey: San Francisco Telehealth Adoption Rates (June 2023)</w:t>
      </w:r>
    </w:p>
    <w:p>
      <w:pPr>
        <w:numPr>
          <w:ilvl w:val="0"/>
          <w:numId w:val="1005"/>
        </w:numPr>
        <w:pStyle w:val="Compact"/>
      </w:pPr>
      <w:r>
        <w:t xml:space="preserve">San Francisco Human Services Agency: Demographic Analysis of Behavioral Health Needs</w:t>
      </w:r>
    </w:p>
    <w:p>
      <w:pPr>
        <w:numPr>
          <w:ilvl w:val="0"/>
          <w:numId w:val="1005"/>
        </w:numPr>
        <w:pStyle w:val="Compact"/>
      </w:pPr>
      <w:r>
        <w:t xml:space="preserve">National Alliance on Mental Illness (NAMI) California: Service Accessibility Metrics</w:t>
      </w:r>
    </w:p>
    <w:p>
      <w:pPr>
        <w:pStyle w:val="FirstParagraph"/>
      </w:pPr>
      <w:r>
        <w:rPr>
          <w:bCs/>
          <w:b/>
        </w:rPr>
        <w:t xml:space="preserve">Disclaimer:</w:t>
      </w:r>
      <w:r>
        <w:t xml:space="preserve"> </w:t>
      </w:r>
      <w:r>
        <w:t xml:space="preserve">All financial data reflects internal practice records and verified third-party market research. Performance metrics are calculated before tax and overhead adjustments.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United States San Francisco Market Analysis</dc:title>
  <dc:creator/>
  <dc:language>en</dc:language>
  <cp:keywords/>
  <dcterms:created xsi:type="dcterms:W3CDTF">2026-07-24T00:31:08Z</dcterms:created>
  <dcterms:modified xsi:type="dcterms:W3CDTF">2026-07-24T00:31:08Z</dcterms:modified>
</cp:coreProperties>
</file>

<file path=docProps/custom.xml><?xml version="1.0" encoding="utf-8"?>
<Properties xmlns="http://schemas.openxmlformats.org/officeDocument/2006/custom-properties" xmlns:vt="http://schemas.openxmlformats.org/officeDocument/2006/docPropsVTypes"/>
</file>